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4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tulo2"/>
        <w:numPr>
          <w:ilvl w:val="1"/>
          <w:numId w:val="2"/>
        </w:numPr>
        <w:spacing w:before="60" w:after="120"/>
        <w:rPr/>
      </w:pPr>
      <w:bookmarkStart w:id="0" w:name="_Toc377032558"/>
      <w:bookmarkEnd w:id="0"/>
      <w:r>
        <w:rPr/>
        <w:t>Atuação da unidade de auditoria interna</w:t>
      </w:r>
    </w:p>
    <w:p>
      <w:pPr>
        <w:pStyle w:val="Normal"/>
        <w:ind w:left="0" w:right="72" w:hanging="0"/>
        <w:jc w:val="both"/>
        <w:rPr>
          <w:b/>
        </w:rPr>
      </w:pPr>
      <w:r>
        <w:rPr>
          <w:b/>
        </w:rPr>
        <w:t>Neste subitem deverão ser consignadas informações sobre a atuação da unidade de auditoria interna, especialmente sobre:</w:t>
      </w:r>
    </w:p>
    <w:p>
      <w:pPr>
        <w:pStyle w:val="Normal"/>
        <w:numPr>
          <w:ilvl w:val="0"/>
          <w:numId w:val="1"/>
        </w:numPr>
        <w:tabs>
          <w:tab w:val="left" w:pos="302" w:leader="none"/>
        </w:tabs>
        <w:ind w:left="0" w:right="0" w:hanging="0"/>
        <w:jc w:val="both"/>
        <w:rPr>
          <w:b/>
        </w:rPr>
      </w:pPr>
      <w:r>
        <w:rPr>
          <w:b/>
        </w:rPr>
        <w:t>estratégia de atuação em relação à unidade central e às unidades ou subunidades descentralizadas, quando houver;</w:t>
      </w:r>
    </w:p>
    <w:p>
      <w:pPr>
        <w:pStyle w:val="Normal"/>
        <w:tabs>
          <w:tab w:val="left" w:pos="302" w:leader="none"/>
        </w:tabs>
        <w:jc w:val="both"/>
        <w:rPr/>
      </w:pPr>
      <w:r>
        <w:rPr/>
        <w:t>- A unidade de auditoria interna do IFAM é centralizada na Reitoria. A estratégia de atuação é sistêmica;</w:t>
      </w:r>
    </w:p>
    <w:p>
      <w:pPr>
        <w:pStyle w:val="Normal"/>
        <w:tabs>
          <w:tab w:val="left" w:pos="302" w:leader="none"/>
        </w:tabs>
        <w:jc w:val="both"/>
        <w:rPr>
          <w:b w:val="false"/>
          <w:bCs w:val="false"/>
        </w:rPr>
      </w:pPr>
      <w:r>
        <w:rPr>
          <w:b w:val="false"/>
          <w:bCs w:val="false"/>
        </w:rPr>
        <w:t>- Não há auditorias internas nos Campus;</w:t>
      </w:r>
    </w:p>
    <w:p>
      <w:pPr>
        <w:pStyle w:val="Normal"/>
        <w:tabs>
          <w:tab w:val="left" w:pos="302" w:leader="none"/>
        </w:tabs>
        <w:jc w:val="both"/>
        <w:rPr>
          <w:b w:val="false"/>
          <w:bCs w:val="false"/>
        </w:rPr>
      </w:pPr>
      <w:r>
        <w:rPr>
          <w:b w:val="false"/>
          <w:bCs w:val="false"/>
        </w:rPr>
        <w:t>- Há recomendação da AUDIN para que sejam criados Coordenações de Controles Internos no Campus.</w:t>
      </w:r>
    </w:p>
    <w:p>
      <w:pPr>
        <w:pStyle w:val="Normal"/>
        <w:tabs>
          <w:tab w:val="left" w:pos="302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02" w:leader="none"/>
        </w:tabs>
        <w:ind w:left="0" w:right="0" w:hanging="0"/>
        <w:jc w:val="both"/>
        <w:rPr>
          <w:b/>
        </w:rPr>
      </w:pPr>
      <w:r>
        <w:rPr>
          <w:b/>
        </w:rPr>
        <w:t>informações quantitativas e qualitativas (área de negócio, unidade regional, objeto etc.) das auditorias e/ou fiscalizações realizadas no exercício de referência do relatório de gestão;</w:t>
      </w:r>
    </w:p>
    <w:p>
      <w:pPr>
        <w:pStyle w:val="Normal"/>
        <w:tabs>
          <w:tab w:val="left" w:pos="302" w:leader="none"/>
        </w:tabs>
        <w:jc w:val="both"/>
        <w:rPr>
          <w:b/>
        </w:rPr>
      </w:pPr>
      <w:r>
        <w:rPr>
          <w:b/>
        </w:rPr>
      </w:r>
    </w:p>
    <w:tbl>
      <w:tblPr>
        <w:jc w:val="left"/>
        <w:tblInd w:w="-63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394"/>
        <w:gridCol w:w="2125"/>
        <w:gridCol w:w="3971"/>
      </w:tblGrid>
      <w:tr>
        <w:trPr>
          <w:trHeight w:val="248" w:hRule="atLeast"/>
          <w:cantSplit w:val="false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Auditoria de Conformidade</w:t>
            </w:r>
          </w:p>
        </w:tc>
      </w:tr>
      <w:tr>
        <w:trPr>
          <w:trHeight w:val="238" w:hRule="atLeast"/>
          <w:cantSplit w:val="false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Produto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Unidade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Objeto</w:t>
            </w:r>
          </w:p>
        </w:tc>
      </w:tr>
      <w:tr>
        <w:trPr>
          <w:trHeight w:val="720" w:hRule="atLeast"/>
          <w:cantSplit w:val="false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n° 01/2014 - Gestão de Pessoas, Campus Coari - Remoção e Substituição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Campus Coari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Gestão de Pessoas - Remoção e Substituição</w:t>
            </w:r>
          </w:p>
        </w:tc>
      </w:tr>
      <w:tr>
        <w:trPr>
          <w:trHeight w:val="720" w:hRule="atLeast"/>
          <w:cantSplit w:val="false"/>
        </w:trPr>
        <w:tc>
          <w:tcPr>
            <w:tcW w:w="439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n° 02/2014 - Gestão de Pessoas, Reitoria - GECC</w:t>
            </w:r>
          </w:p>
        </w:tc>
        <w:tc>
          <w:tcPr>
            <w:tcW w:w="212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Reitoria</w:t>
            </w:r>
          </w:p>
        </w:tc>
        <w:tc>
          <w:tcPr>
            <w:tcW w:w="397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Gestão de Pessoas – Pagamento de GECC</w:t>
            </w:r>
          </w:p>
        </w:tc>
      </w:tr>
      <w:tr>
        <w:trPr>
          <w:trHeight w:val="1080" w:hRule="atLeast"/>
          <w:cantSplit w:val="false"/>
        </w:trPr>
        <w:tc>
          <w:tcPr>
            <w:tcW w:w="439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n° 03/2014 - Concessão de espaço físico para exploração de lanchonete e restaurante do CMC</w:t>
            </w:r>
          </w:p>
        </w:tc>
        <w:tc>
          <w:tcPr>
            <w:tcW w:w="212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CMC</w:t>
            </w:r>
          </w:p>
        </w:tc>
        <w:tc>
          <w:tcPr>
            <w:tcW w:w="397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Conformidade dos atos para Concessão de espaço físico para exploração de lanchonete e restaurante</w:t>
            </w:r>
          </w:p>
        </w:tc>
      </w:tr>
      <w:tr>
        <w:trPr>
          <w:trHeight w:val="1080" w:hRule="atLeast"/>
          <w:cantSplit w:val="false"/>
        </w:trPr>
        <w:tc>
          <w:tcPr>
            <w:tcW w:w="439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n° 04/2014 - Conformidade dos atos quanto a execução do Contrato n° 09/2013, Reitoria</w:t>
            </w:r>
          </w:p>
        </w:tc>
        <w:tc>
          <w:tcPr>
            <w:tcW w:w="212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Reitoria</w:t>
            </w:r>
          </w:p>
        </w:tc>
        <w:tc>
          <w:tcPr>
            <w:tcW w:w="397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Conformidade dos atos quanto à execução do Contrato n° 09/2013</w:t>
            </w:r>
          </w:p>
        </w:tc>
      </w:tr>
      <w:tr>
        <w:trPr>
          <w:trHeight w:val="720" w:hRule="atLeast"/>
          <w:cantSplit w:val="false"/>
        </w:trPr>
        <w:tc>
          <w:tcPr>
            <w:tcW w:w="439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n° 05/2014 - Programa de concessão de vaga de estágio, Reitoria</w:t>
            </w:r>
          </w:p>
        </w:tc>
        <w:tc>
          <w:tcPr>
            <w:tcW w:w="212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Reitoria</w:t>
            </w:r>
          </w:p>
        </w:tc>
        <w:tc>
          <w:tcPr>
            <w:tcW w:w="397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Conformidade dos atos no contrato de concessão de vagas de estágio</w:t>
            </w:r>
          </w:p>
        </w:tc>
      </w:tr>
      <w:tr>
        <w:trPr>
          <w:trHeight w:val="725" w:hRule="atLeast"/>
          <w:cantSplit w:val="false"/>
        </w:trPr>
        <w:tc>
          <w:tcPr>
            <w:tcW w:w="439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n° 06/2014 - Execução dos projetos do IFAM pela FAEPI</w:t>
            </w:r>
          </w:p>
        </w:tc>
        <w:tc>
          <w:tcPr>
            <w:tcW w:w="212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Reitoria</w:t>
            </w:r>
          </w:p>
        </w:tc>
        <w:tc>
          <w:tcPr>
            <w:tcW w:w="397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Execução dos projetos do IFAM pela FAEPI</w:t>
            </w:r>
          </w:p>
        </w:tc>
      </w:tr>
    </w:tbl>
    <w:p>
      <w:pPr>
        <w:pStyle w:val="Normal"/>
        <w:tabs>
          <w:tab w:val="left" w:pos="302" w:leader="none"/>
        </w:tabs>
        <w:jc w:val="both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pageBreakBefore/>
        <w:tabs>
          <w:tab w:val="left" w:pos="302" w:leader="none"/>
        </w:tabs>
        <w:jc w:val="both"/>
        <w:rPr>
          <w:b/>
        </w:rPr>
      </w:pPr>
      <w:r>
        <w:rPr>
          <w:b/>
        </w:rPr>
        <w:t xml:space="preserve"> </w:t>
      </w:r>
    </w:p>
    <w:tbl>
      <w:tblPr>
        <w:jc w:val="left"/>
        <w:tblInd w:w="-62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519"/>
        <w:gridCol w:w="2146"/>
        <w:gridCol w:w="3693"/>
      </w:tblGrid>
      <w:tr>
        <w:trPr>
          <w:trHeight w:val="411" w:hRule="atLeast"/>
          <w:cantSplit w:val="false"/>
        </w:trPr>
        <w:tc>
          <w:tcPr>
            <w:tcW w:w="9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680" w:hanging="0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Atividades de Prevenção</w:t>
            </w:r>
          </w:p>
        </w:tc>
      </w:tr>
      <w:tr>
        <w:trPr>
          <w:trHeight w:val="275" w:hRule="atLeast"/>
          <w:cantSplit w:val="false"/>
        </w:trPr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Produto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Unidade</w:t>
            </w:r>
          </w:p>
        </w:tc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Objeto</w:t>
            </w:r>
          </w:p>
        </w:tc>
      </w:tr>
      <w:tr>
        <w:trPr>
          <w:trHeight w:val="846" w:hRule="atLeast"/>
          <w:cantSplit w:val="false"/>
        </w:trPr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de Avaliação Objetiva n° 01/2014 - Gestão patrimonial e almoxarifado do CMZL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CMZL</w:t>
            </w:r>
          </w:p>
        </w:tc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Gestão patrimonial</w:t>
            </w:r>
          </w:p>
        </w:tc>
      </w:tr>
      <w:tr>
        <w:trPr>
          <w:trHeight w:val="844" w:hRule="atLeast"/>
          <w:cantSplit w:val="false"/>
        </w:trPr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de Avaliação Objetiva n° 02/2014 - Gestão patrimonial e almoxarifado do CMDI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CMDI</w:t>
            </w:r>
          </w:p>
        </w:tc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Gestão patrimonial</w:t>
            </w:r>
          </w:p>
        </w:tc>
      </w:tr>
      <w:tr>
        <w:trPr>
          <w:trHeight w:val="983" w:hRule="atLeast"/>
          <w:cantSplit w:val="false"/>
        </w:trPr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de Avaliação Objetiva n° 03/2014 - Gestão patrimonial imobiliário - Reitoria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Reitoria</w:t>
            </w:r>
          </w:p>
        </w:tc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Gestão patrimonial</w:t>
            </w:r>
          </w:p>
        </w:tc>
      </w:tr>
      <w:tr>
        <w:trPr>
          <w:trHeight w:val="1252" w:hRule="atLeast"/>
          <w:cantSplit w:val="false"/>
        </w:trPr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de Avaliação Objetiva n° 04/2014 - Gestão ambiental - aderência à critérios de sustentabilidade - Reitoria e CMZL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Reitoria e CMZL</w:t>
            </w:r>
          </w:p>
        </w:tc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Gestão da sustentabilidade</w:t>
            </w:r>
          </w:p>
        </w:tc>
      </w:tr>
      <w:tr>
        <w:trPr>
          <w:trHeight w:val="720" w:hRule="atLeast"/>
          <w:cantSplit w:val="false"/>
        </w:trPr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de Avaliação Objetiva n° 05/2014 - Gestão de TI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Reitoria</w:t>
            </w:r>
          </w:p>
        </w:tc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Gestão de Tecnologia da Informação</w:t>
            </w:r>
          </w:p>
        </w:tc>
      </w:tr>
      <w:tr>
        <w:trPr>
          <w:trHeight w:val="826" w:hRule="atLeast"/>
          <w:cantSplit w:val="false"/>
        </w:trPr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Relatório de Avaliação Objetiva n° 06/2014 - Gestão da educação - Cumprimento do TAM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Reitoria</w:t>
            </w:r>
          </w:p>
        </w:tc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Acompanhamento do TAM – Termo de acordo e metas</w:t>
            </w:r>
          </w:p>
        </w:tc>
      </w:tr>
      <w:tr>
        <w:trPr>
          <w:trHeight w:val="841" w:hRule="atLeast"/>
          <w:cantSplit w:val="false"/>
        </w:trPr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Treinamento – Jornada POTI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Campus Maués</w:t>
            </w:r>
          </w:p>
        </w:tc>
        <w:tc>
          <w:tcPr>
            <w:tcW w:w="3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Palestra: Controle Interno e a importância da Avaliação de riscos pela gestão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pageBreakBefore/>
        <w:numPr>
          <w:ilvl w:val="0"/>
          <w:numId w:val="1"/>
        </w:numPr>
        <w:spacing w:lineRule="auto" w:line="276" w:before="0" w:after="200"/>
        <w:jc w:val="both"/>
        <w:rPr>
          <w:b/>
        </w:rPr>
      </w:pPr>
      <w:r>
        <w:rPr>
          <w:b/>
        </w:rPr>
        <w:t>Demonstração da execução do plano anual de auditoria, contemplando avaliação comparativa entre as atividades planejadas e realizadas, destacando os trabalhos mais relevantes, as principais constatações e as providências adotadas pela gestão da unidade jurisdicionada.</w:t>
      </w:r>
    </w:p>
    <w:tbl>
      <w:tblPr>
        <w:jc w:val="left"/>
        <w:tblInd w:w="-102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672"/>
        <w:gridCol w:w="1416"/>
        <w:gridCol w:w="4831"/>
      </w:tblGrid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Planejad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Realizada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Principais Constatações / Informações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Acompanhar o cumprimento das deliberações (Determinações ou Recomendações) do TCU;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center"/>
              <w:rPr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Informações consolidadas no Quadro A.11.1.1 </w:t>
            </w:r>
          </w:p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e Quadro A.11.1.2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Acompanhar o cumprimento das Recomendações da CGU;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center"/>
              <w:rPr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Informações consolidadas no Quadro A.11.2.1 </w:t>
            </w:r>
          </w:p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e Quadro A.11.2.2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Participar das Reuniões junto a Administração Superior do IFAM, com o TCU e a CGU, sempre que for necessário;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Busca conjunta de soluções – CGU;</w:t>
            </w:r>
          </w:p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Reunião com presidente da FAEPI;</w:t>
            </w:r>
          </w:p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Denúncia de Coari</w:t>
            </w:r>
          </w:p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Avaliação da gestão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0" w:right="0" w:hang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Elaborar o Plano Anual de Auditoria Interna - PAINT;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Ações 2015 planejadas e orçamento definido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Elaborar o Relatório de Atividades de Auditoria Interna - RAINT;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RAINT 2014 em pauta de submissão ao Conselho Superior e à CGU</w:t>
            </w:r>
          </w:p>
        </w:tc>
      </w:tr>
      <w:tr>
        <w:trPr>
          <w:trHeight w:val="1317" w:hRule="atLeast"/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Assessorar a alta administração do IFAM nos assuntos de competência da unidade de auditoria interna, orientando, inclusive sobre a forma de prestar contas.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Orientações sobre modelo de prestação de contas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Averiguar o cumprimento das metas e objetivos estabelecidos no Plano de Desenvolvimento Institucional e no Planejamento Estratégico do IFAM,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Parcialmente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Realização de identificação e avaliação de riscos, como fonte de informação para a elaboração do PAINT 2015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Examinar as licitações relativas às aquisições de bens, contratações de bens, contratações de prestação de serviços, realização de obras e alienações, no âmbito da Instituição;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b w:val="false"/>
                <w:bCs w:val="false"/>
                <w:sz w:val="22"/>
                <w:szCs w:val="22"/>
              </w:rPr>
              <w:t>Contratação de estagiários;</w:t>
            </w:r>
          </w:p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b w:val="false"/>
                <w:bCs w:val="false"/>
                <w:sz w:val="22"/>
                <w:szCs w:val="22"/>
              </w:rPr>
              <w:t>Restaurante do CMC;</w:t>
            </w:r>
          </w:p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b w:val="false"/>
                <w:bCs w:val="false"/>
                <w:sz w:val="22"/>
                <w:szCs w:val="22"/>
              </w:rPr>
              <w:t>Concurso 2014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Elaborar rotinas administrativas para execução de trabalho da própria AUDIN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Parcialmente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Atividade em andamento. </w:t>
            </w:r>
          </w:p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Foi elaborada a rotina de tratamento das demandas do TCU e da CGU.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Acompanhar a elaboração das rotinas administrativas criadas pelas </w:t>
            </w:r>
            <w:r>
              <w:rPr>
                <w:b/>
                <w:bCs/>
                <w:sz w:val="22"/>
                <w:szCs w:val="22"/>
              </w:rPr>
              <w:t>Pró-Reitorias do IFAM.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Não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Acompanhar o processo de Contas Ordinárias e Tomadas de Contas Especiais.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Prestação de contas do exercício 2013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Promover treinamento de orientação aos gestores quanto à prestação de contas, e com relação a temas de maior complexidade.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Participação na jornada POTI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Realizar auditorias não planejadas, quando são feitas denúncias fundamentadas e por escrito.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Denúncia sobre a gestão de Coari - Auditoria em andamento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Acompanhamento do cumprimento das metas previstas no Plano Plurianual - PPA, especificamente no que tange nas atividades de expansão e reestruturação de Instituições Federais de Educação Profissional e Tecnológica – No Estado do Amazonas.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Não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O TCU auditou o mesmo objeto. </w:t>
            </w:r>
          </w:p>
          <w:p>
            <w:pPr>
              <w:pStyle w:val="Normal"/>
              <w:spacing w:lineRule="auto" w:line="276" w:before="0" w:after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Atividade suspensa.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Acompanhamento do cumprimento das metas previstas no Plano Plurianual - PPA, especificamente no que tange nas atividades de expansão e reestruturação de Instituições Federais de Educação Profissional e Tecnológica – No Estado do Amazonas.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Não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O TCU auditou o mesmo objeto. </w:t>
            </w:r>
          </w:p>
          <w:p>
            <w:pPr>
              <w:pStyle w:val="Normal"/>
              <w:spacing w:lineRule="auto" w:line="276" w:before="0" w:after="0"/>
              <w:jc w:val="left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Atividade suspensa.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Acompanhar o gerenciamento patrimonial executado pela UJ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Avaliação objetiva – gestão patrimonial CMDI;</w:t>
            </w:r>
          </w:p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Avaliação objetiva – gestão patrimonial CMZL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Acompanhar o gerenciamento patrimonial executado pela UJ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b w:val="false"/>
                <w:bCs w:val="false"/>
                <w:sz w:val="22"/>
                <w:szCs w:val="22"/>
              </w:rPr>
              <w:t>Avaliação objetiva – gestão patrimonial Reitoria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Verificar a conformidade dos modelos de gestão com relação a temas específico de controle do recursos humanos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b w:val="false"/>
                <w:bCs w:val="false"/>
                <w:sz w:val="22"/>
                <w:szCs w:val="22"/>
              </w:rPr>
              <w:t>Auditoria de conformidade – Pagamento de Gratificação de Encargos por curso e concurso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Verificar se houve implantação dos programas de melhoria da qualidade de vida e saúde dos servidores.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Sim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b w:val="false"/>
                <w:bCs w:val="false"/>
                <w:sz w:val="22"/>
                <w:szCs w:val="22"/>
              </w:rPr>
              <w:t>Auditoria de conformidade – Remoção e substituição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Verificar se houve fortalecimento do setor de saúde dos campi, através de auditagem no SIASS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Não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Ação substituída pelas auditorias em: gestão de Ti e gestão sustentável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Acompanhar a avaliação dos cursos.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Parcialmente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Cumprimento do TAM. A auditoria foi iniciada no, no entanto não houve resposta, em tempo, dos gestores. A auditoria será refeita em 2015.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Acompanhar o desempenho dos alunos.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Parcialmente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Cumprimento do TAM. A auditoria foi iniciada no, no entanto não houve resposta, em tempo, dos gestores. A auditoria será refeita em 2015.</w:t>
            </w:r>
          </w:p>
        </w:tc>
      </w:tr>
      <w:tr>
        <w:trPr>
          <w:cantSplit w:val="false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ind w:left="0" w:right="0" w:hanging="10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Acompanhar o número total dos ingressos e dos egressos.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Parcialmente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Cumprimento do TAM.A auditoria foi iniciada no, no entanto não houve resposta, em tempo, dos gestores. A auditoria será refeita em 2015.</w:t>
            </w:r>
          </w:p>
        </w:tc>
      </w:tr>
    </w:tbl>
    <w:p>
      <w:pPr>
        <w:pStyle w:val="Normal"/>
        <w:tabs>
          <w:tab w:val="left" w:pos="302" w:leader="none"/>
        </w:tabs>
        <w:jc w:val="both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left" w:pos="302" w:leader="none"/>
        </w:tabs>
        <w:ind w:left="0" w:right="0" w:hanging="0"/>
        <w:jc w:val="both"/>
        <w:rPr>
          <w:b/>
        </w:rPr>
      </w:pPr>
      <w:r>
        <w:rPr>
          <w:b/>
        </w:rPr>
        <w:t>eventuais redesenhos feitos recentemente na estrutura organizacional da unidade de auditoria, inclusive reposicionamento na estrutura da unidade jurisdicionada, demonstrando os ganhos operacionais deles decorrentes;</w:t>
      </w:r>
    </w:p>
    <w:p>
      <w:pPr>
        <w:pStyle w:val="Normal"/>
        <w:tabs>
          <w:tab w:val="left" w:pos="302" w:leader="none"/>
        </w:tabs>
        <w:jc w:val="both"/>
        <w:rPr/>
      </w:pPr>
      <w:r>
        <w:rPr/>
        <w:tab/>
        <w:tab/>
        <w:t>Em 2014, houve uma ampliação no quadro de Recursos humanos da AUDIN</w:t>
      </w:r>
      <w:bookmarkStart w:id="1" w:name="_GoBack"/>
      <w:bookmarkEnd w:id="1"/>
      <w:r>
        <w:rPr/>
        <w:t xml:space="preserve"> </w:t>
      </w:r>
      <w:r>
        <w:rPr/>
        <w:t>com a aprovação de 01 auditor no concurso realizado pelo IFAM.</w:t>
      </w:r>
    </w:p>
    <w:p>
      <w:pPr>
        <w:pStyle w:val="Normal"/>
        <w:tabs>
          <w:tab w:val="left" w:pos="302" w:leader="none"/>
        </w:tabs>
        <w:jc w:val="both"/>
        <w:rPr/>
      </w:pPr>
      <w:r>
        <w:rPr/>
        <w:tab/>
        <w:tab/>
      </w:r>
      <w:r>
        <w:rPr/>
        <w:t xml:space="preserve">A AUDIN está promovendo uma metodologia de apresentação dos relatórios à gestão, através de apresentações periódicas diretamente ao Colégio de Dirigentes. </w:t>
      </w:r>
    </w:p>
    <w:p>
      <w:pPr>
        <w:pStyle w:val="Normal"/>
        <w:tabs>
          <w:tab w:val="left" w:pos="302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02" w:leader="none"/>
        </w:tabs>
        <w:ind w:left="0" w:right="0" w:hanging="0"/>
        <w:jc w:val="both"/>
        <w:rPr>
          <w:b/>
        </w:rPr>
      </w:pPr>
      <w:r>
        <w:rPr>
          <w:b/>
        </w:rPr>
        <w:t>opinião do auditor interno sobre a qualidade dos controles internos relacionados à apuração dos resultados dos indicadores utilizados para monitorar e avaliar a governança e o desempenho operacional unidade jurisdicionada.</w:t>
      </w:r>
    </w:p>
    <w:p>
      <w:pPr>
        <w:pStyle w:val="Normal"/>
        <w:widowControl/>
        <w:bidi w:val="0"/>
        <w:spacing w:lineRule="auto" w:line="240" w:before="60" w:after="60"/>
        <w:ind w:left="0" w:right="0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Especificamente quanto à apuração dos resultados dos indicadores utilizados para monitorar e avaliar a governança e o desempenho operacional unidade jurisdicionada, opino no sentido de que a qualidade de tal apuração ainda está em fase de consolidação, visto que ainda não há uma política de avaliação de indicadores e riscos. Por outro lado, nota-se que o gestor promove ações nesse sentido, tais como:</w:t>
      </w:r>
    </w:p>
    <w:p>
      <w:pPr>
        <w:pStyle w:val="Normal"/>
        <w:widowControl/>
        <w:bidi w:val="0"/>
        <w:spacing w:lineRule="auto" w:line="240" w:before="60" w:after="60"/>
        <w:ind w:left="737" w:right="0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>a) A gestão do IFAM iniciou a implantação da Coordenação de Governança e Controle Interno – CGCI, fato esse que demonstra a busca pela qualidade do Sistema de Controle Interno do IFAM;</w:t>
      </w:r>
    </w:p>
    <w:p>
      <w:pPr>
        <w:pStyle w:val="Normal"/>
        <w:widowControl/>
        <w:bidi w:val="0"/>
        <w:spacing w:lineRule="auto" w:line="240" w:before="60" w:after="60"/>
        <w:ind w:left="737" w:right="0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>b) A gestão conta com Auditoria Interna, Ouvidoria, Unidade de Correição e a CGCI, todos agentes de monitoramento dos atos da gestão.</w:t>
      </w:r>
    </w:p>
    <w:p>
      <w:pPr>
        <w:pStyle w:val="Normal"/>
        <w:tabs>
          <w:tab w:val="left" w:pos="302" w:leader="none"/>
        </w:tabs>
        <w:ind w:left="720" w:right="0" w:hanging="0"/>
        <w:jc w:val="both"/>
        <w:rPr>
          <w:b/>
        </w:rPr>
      </w:pPr>
      <w:r>
        <w:rPr>
          <w:b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60" w:after="6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jc w:val="center"/>
      <w:rPr>
        <w:sz w:val="22"/>
        <w:szCs w:val="22"/>
      </w:rPr>
    </w:pPr>
    <w:r>
      <w:rPr>
        <w:sz w:val="22"/>
        <w:szCs w:val="22"/>
      </w:rPr>
      <w:drawing>
        <wp:anchor behindDoc="1" distT="0" distB="0" distL="114935" distR="114935" simplePos="0" locked="0" layoutInCell="1" allowOverlap="1" relativeHeight="0">
          <wp:simplePos x="0" y="0"/>
          <wp:positionH relativeFrom="column">
            <wp:posOffset>2209800</wp:posOffset>
          </wp:positionH>
          <wp:positionV relativeFrom="paragraph">
            <wp:posOffset>-384175</wp:posOffset>
          </wp:positionV>
          <wp:extent cx="687070" cy="69786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jc w:val="center"/>
      <w:rPr>
        <w:sz w:val="22"/>
        <w:szCs w:val="22"/>
      </w:rPr>
    </w:pPr>
    <w:r>
      <w:rPr>
        <w:sz w:val="22"/>
        <w:szCs w:val="22"/>
      </w:rPr>
    </w:r>
  </w:p>
  <w:p>
    <w:pPr>
      <w:pStyle w:val="Cabealho"/>
      <w:jc w:val="center"/>
      <w:rPr>
        <w:sz w:val="22"/>
        <w:szCs w:val="22"/>
      </w:rPr>
    </w:pPr>
    <w:r>
      <w:rPr>
        <w:sz w:val="22"/>
        <w:szCs w:val="22"/>
      </w:rPr>
      <w:t>Ministério da Educação</w:t>
    </w:r>
  </w:p>
  <w:p>
    <w:pPr>
      <w:pStyle w:val="Cabealho"/>
      <w:jc w:val="center"/>
      <w:rPr>
        <w:sz w:val="22"/>
        <w:szCs w:val="22"/>
      </w:rPr>
    </w:pPr>
    <w:r>
      <w:rPr>
        <w:sz w:val="22"/>
        <w:szCs w:val="22"/>
      </w:rPr>
      <w:t>Secretaria de Educação Profissional e Tecnológica</w:t>
    </w:r>
  </w:p>
  <w:p>
    <w:pPr>
      <w:pStyle w:val="Cabealho"/>
      <w:jc w:val="center"/>
      <w:rPr>
        <w:sz w:val="22"/>
        <w:szCs w:val="22"/>
      </w:rPr>
    </w:pPr>
    <w:r>
      <w:rPr>
        <w:sz w:val="22"/>
        <w:szCs w:val="22"/>
      </w:rPr>
      <w:t>Instituto Federal de Educação, Ciência e Tecnologia do Amazonas</w:t>
    </w:r>
  </w:p>
  <w:p>
    <w:pPr>
      <w:pStyle w:val="Cabealho"/>
      <w:jc w:val="center"/>
      <w:rPr>
        <w:sz w:val="22"/>
        <w:szCs w:val="22"/>
      </w:rPr>
    </w:pPr>
    <w:r>
      <w:rPr>
        <w:sz w:val="22"/>
        <w:szCs w:val="22"/>
      </w:rPr>
      <w:t>Auditoria Interna do IFAM</w:t>
    </w:r>
  </w:p>
  <w:p>
    <w:pPr>
      <w:pStyle w:val="Normal"/>
      <w:spacing w:before="60" w:after="60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>Av. Ferreira Pena  nº. 1109, Centro, Manaus/AM – CEP 69025-010 – Fone (92) 3306-0008 – E-mail auditoria@ifam.edu.br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decimal"/>
      <w:lvlText w:val="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WenQuanYi Micro Hei" w:cs="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c4c67"/>
    <w:pPr>
      <w:widowControl/>
      <w:suppressAutoHyphens w:val="true"/>
      <w:bidi w:val="0"/>
      <w:spacing w:lineRule="auto" w:line="240" w:before="60" w:after="60"/>
      <w:jc w:val="left"/>
    </w:pPr>
    <w:rPr>
      <w:rFonts w:ascii="Times New Roman" w:hAnsi="Times New Roman" w:eastAsia="Calibri" w:cs="Times New Roman"/>
      <w:color w:val="auto"/>
      <w:sz w:val="24"/>
      <w:szCs w:val="24"/>
      <w:lang w:val="pt-BR" w:eastAsia="en-US" w:bidi="ar-SA"/>
    </w:rPr>
  </w:style>
  <w:style w:type="paragraph" w:styleId="Ttulo2">
    <w:name w:val="Título 2"/>
    <w:uiPriority w:val="9"/>
    <w:qFormat/>
    <w:link w:val="Ttulo2Char"/>
    <w:rsid w:val="00bc4c67"/>
    <w:basedOn w:val="Normal"/>
    <w:next w:val="Normal"/>
    <w:pPr>
      <w:keepNext/>
      <w:numPr>
        <w:ilvl w:val="0"/>
        <w:numId w:val="3"/>
      </w:numPr>
      <w:pBdr>
        <w:top w:val="thickThinSmallGap" w:sz="24" w:space="1" w:color="00000A"/>
        <w:left w:val="nil"/>
        <w:bottom w:val="thinThickSmallGap" w:sz="24" w:space="1" w:color="00000A"/>
        <w:right w:val="nil"/>
      </w:pBdr>
      <w:spacing w:before="60" w:after="120"/>
      <w:jc w:val="both"/>
      <w:outlineLvl w:val="1"/>
    </w:pPr>
    <w:rPr>
      <w:b/>
      <w:bCs/>
      <w:iCs/>
      <w:szCs w:val="28"/>
    </w:rPr>
  </w:style>
  <w:style w:type="paragraph" w:styleId="Ttulo4">
    <w:name w:val="Título 4"/>
    <w:uiPriority w:val="9"/>
    <w:qFormat/>
    <w:link w:val="Ttulo4Char"/>
    <w:rsid w:val="00bc4c67"/>
    <w:basedOn w:val="Normal"/>
    <w:next w:val="Normal"/>
    <w:pPr>
      <w:keepNext/>
      <w:numPr>
        <w:ilvl w:val="0"/>
        <w:numId w:val="3"/>
      </w:numPr>
      <w:pBdr>
        <w:top w:val="double" w:sz="2" w:space="1" w:color="00000A"/>
        <w:left w:val="nil"/>
        <w:bottom w:val="double" w:sz="2" w:space="1" w:color="00000A"/>
        <w:right w:val="nil"/>
      </w:pBdr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Título 5"/>
    <w:uiPriority w:val="9"/>
    <w:qFormat/>
    <w:link w:val="Ttulo5Char"/>
    <w:rsid w:val="00bc4c67"/>
    <w:basedOn w:val="Normal"/>
    <w:next w:val="Normal"/>
    <w:pPr>
      <w:numPr>
        <w:ilvl w:val="0"/>
        <w:numId w:val="3"/>
      </w:numPr>
      <w:jc w:val="center"/>
      <w:outlineLvl w:val="4"/>
    </w:pPr>
    <w:rPr>
      <w:b/>
      <w:caps/>
    </w:rPr>
  </w:style>
  <w:style w:type="paragraph" w:styleId="Ttulo6">
    <w:name w:val="Título 6"/>
    <w:uiPriority w:val="9"/>
    <w:qFormat/>
    <w:link w:val="Ttulo6Char"/>
    <w:rsid w:val="00bc4c67"/>
    <w:basedOn w:val="Normal"/>
    <w:next w:val="Normal"/>
    <w:pPr>
      <w:numPr>
        <w:ilvl w:val="0"/>
        <w:numId w:val="3"/>
      </w:numPr>
      <w:outlineLvl w:val="5"/>
    </w:pPr>
    <w:rPr/>
  </w:style>
  <w:style w:type="paragraph" w:styleId="Ttulo7">
    <w:name w:val="Título 7"/>
    <w:uiPriority w:val="9"/>
    <w:qFormat/>
    <w:unhideWhenUsed/>
    <w:link w:val="Ttulo7Char"/>
    <w:rsid w:val="00bc4c67"/>
    <w:basedOn w:val="Normal"/>
    <w:next w:val="Normal"/>
    <w:pPr>
      <w:numPr>
        <w:ilvl w:val="0"/>
        <w:numId w:val="3"/>
      </w:numPr>
      <w:spacing w:before="240" w:after="60"/>
      <w:outlineLvl w:val="6"/>
    </w:pPr>
    <w:rPr>
      <w:rFonts w:ascii="Calibri" w:hAnsi="Calibri" w:eastAsia="Times New Roman"/>
    </w:rPr>
  </w:style>
  <w:style w:type="paragraph" w:styleId="Ttulo8">
    <w:name w:val="Título 8"/>
    <w:uiPriority w:val="9"/>
    <w:qFormat/>
    <w:unhideWhenUsed/>
    <w:link w:val="Ttulo8Char"/>
    <w:rsid w:val="00bc4c67"/>
    <w:basedOn w:val="Normal"/>
    <w:pPr>
      <w:numPr>
        <w:ilvl w:val="0"/>
        <w:numId w:val="3"/>
      </w:numPr>
    </w:pPr>
    <w:rPr/>
  </w:style>
  <w:style w:type="paragraph" w:styleId="Ttulo9">
    <w:name w:val="Título 9"/>
    <w:uiPriority w:val="9"/>
    <w:qFormat/>
    <w:unhideWhenUsed/>
    <w:link w:val="Ttulo9Char"/>
    <w:rsid w:val="00bc4c67"/>
    <w:basedOn w:val="Normal"/>
    <w:next w:val="Normal"/>
    <w:pPr>
      <w:numPr>
        <w:ilvl w:val="0"/>
        <w:numId w:val="3"/>
      </w:numPr>
      <w:jc w:val="center"/>
      <w:outlineLvl w:val="8"/>
    </w:pPr>
    <w:rPr>
      <w:rFonts w:eastAsia="Times New Roman"/>
      <w:b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752443"/>
    <w:basedOn w:val="DefaultParagraphFont"/>
    <w:rPr>
      <w:b/>
      <w:bCs/>
    </w:rPr>
  </w:style>
  <w:style w:type="character" w:styleId="Ttulo2Char" w:customStyle="1">
    <w:name w:val="Título 2 Char"/>
    <w:uiPriority w:val="9"/>
    <w:link w:val="Ttulo2"/>
    <w:rsid w:val="00bc4c67"/>
    <w:basedOn w:val="DefaultParagraphFont"/>
    <w:rPr>
      <w:rFonts w:ascii="Times New Roman" w:hAnsi="Times New Roman" w:eastAsia="Calibri" w:cs="Times New Roman"/>
      <w:b/>
      <w:bCs/>
      <w:iCs/>
      <w:sz w:val="24"/>
      <w:szCs w:val="28"/>
    </w:rPr>
  </w:style>
  <w:style w:type="character" w:styleId="Ttulo4Char" w:customStyle="1">
    <w:name w:val="Título 4 Char"/>
    <w:uiPriority w:val="9"/>
    <w:link w:val="Ttulo4"/>
    <w:rsid w:val="00bc4c67"/>
    <w:basedOn w:val="DefaultParagraphFont"/>
    <w:rPr>
      <w:rFonts w:ascii="Times New Roman" w:hAnsi="Times New Roman" w:eastAsia="Calibri" w:cs="Times New Roman"/>
      <w:b/>
      <w:bCs/>
      <w:sz w:val="24"/>
      <w:szCs w:val="28"/>
    </w:rPr>
  </w:style>
  <w:style w:type="character" w:styleId="Ttulo5Char" w:customStyle="1">
    <w:name w:val="Título 5 Char"/>
    <w:uiPriority w:val="9"/>
    <w:link w:val="Ttulo5"/>
    <w:rsid w:val="00bc4c67"/>
    <w:basedOn w:val="DefaultParagraphFont"/>
    <w:rPr>
      <w:rFonts w:ascii="Times New Roman" w:hAnsi="Times New Roman" w:eastAsia="Calibri" w:cs="Times New Roman"/>
      <w:b/>
      <w:caps/>
      <w:sz w:val="24"/>
      <w:szCs w:val="24"/>
    </w:rPr>
  </w:style>
  <w:style w:type="character" w:styleId="Ttulo6Char" w:customStyle="1">
    <w:name w:val="Título 6 Char"/>
    <w:uiPriority w:val="9"/>
    <w:link w:val="Ttulo6"/>
    <w:rsid w:val="00bc4c67"/>
    <w:basedOn w:val="DefaultParagraphFont"/>
    <w:rPr>
      <w:rFonts w:ascii="Times New Roman" w:hAnsi="Times New Roman" w:eastAsia="Calibri" w:cs="Times New Roman"/>
      <w:sz w:val="24"/>
      <w:szCs w:val="24"/>
    </w:rPr>
  </w:style>
  <w:style w:type="character" w:styleId="Ttulo7Char" w:customStyle="1">
    <w:name w:val="Título 7 Char"/>
    <w:uiPriority w:val="9"/>
    <w:link w:val="Ttulo7"/>
    <w:rsid w:val="00bc4c67"/>
    <w:basedOn w:val="DefaultParagraphFont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uiPriority w:val="9"/>
    <w:link w:val="Ttulo8"/>
    <w:rsid w:val="00bc4c67"/>
    <w:basedOn w:val="DefaultParagraphFont"/>
    <w:rPr>
      <w:rFonts w:ascii="Times New Roman" w:hAnsi="Times New Roman" w:eastAsia="Times New Roman" w:cs="Times New Roman"/>
      <w:b/>
      <w:iCs/>
      <w:smallCaps/>
      <w:color w:val="FFFFFF"/>
      <w:sz w:val="36"/>
      <w:szCs w:val="24"/>
    </w:rPr>
  </w:style>
  <w:style w:type="character" w:styleId="Ttulo9Char" w:customStyle="1">
    <w:name w:val="Título 9 Char"/>
    <w:uiPriority w:val="9"/>
    <w:link w:val="Ttulo9"/>
    <w:rsid w:val="00bc4c67"/>
    <w:basedOn w:val="DefaultParagraphFont"/>
    <w:rPr>
      <w:rFonts w:ascii="Times New Roman" w:hAnsi="Times New Roman" w:eastAsia="Times New Roman" w:cs="Times New Roman"/>
      <w:b/>
      <w:sz w:val="24"/>
      <w:szCs w:val="24"/>
    </w:rPr>
  </w:style>
  <w:style w:type="character" w:styleId="CabealhoChar" w:customStyle="1">
    <w:name w:val="Cabeçalho Char"/>
    <w:link w:val="Cabealho"/>
    <w:rsid w:val="00bc4c67"/>
    <w:basedOn w:val="DefaultParagraphFont"/>
    <w:rPr>
      <w:rFonts w:ascii="Times New Roman" w:hAnsi="Times New Roman" w:eastAsia="Calibri" w:cs="Times New Roman"/>
      <w:sz w:val="24"/>
      <w:szCs w:val="24"/>
    </w:rPr>
  </w:style>
  <w:style w:type="character" w:styleId="RodapChar" w:customStyle="1">
    <w:name w:val="Rodapé Char"/>
    <w:uiPriority w:val="99"/>
    <w:link w:val="Rodap"/>
    <w:rsid w:val="00bc4c67"/>
    <w:basedOn w:val="DefaultParagraphFont"/>
    <w:rPr>
      <w:rFonts w:ascii="Times New Roman" w:hAnsi="Times New Roman" w:eastAsia="Calibri" w:cs="Times New Roman"/>
      <w:sz w:val="24"/>
      <w:szCs w:val="24"/>
    </w:rPr>
  </w:style>
  <w:style w:type="character" w:styleId="ListLabel1">
    <w:name w:val="ListLabel 1"/>
    <w:rPr>
      <w:i w:val="false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ohit Devanagari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ohit Devanagari"/>
    </w:rPr>
  </w:style>
  <w:style w:type="paragraph" w:styleId="NormalWeb">
    <w:name w:val="Normal (Web)"/>
    <w:uiPriority w:val="99"/>
    <w:semiHidden/>
    <w:unhideWhenUsed/>
    <w:rsid w:val="00752443"/>
    <w:basedOn w:val="Normal"/>
    <w:pPr>
      <w:spacing w:before="60" w:after="280"/>
    </w:pPr>
    <w:rPr>
      <w:rFonts w:eastAsia="Times New Roman"/>
      <w:lang w:eastAsia="pt-BR"/>
    </w:rPr>
  </w:style>
  <w:style w:type="paragraph" w:styleId="Cabealho">
    <w:name w:val="Cabeçalho"/>
    <w:unhideWhenUsed/>
    <w:link w:val="CabealhoChar"/>
    <w:rsid w:val="00bc4c67"/>
    <w:basedOn w:val="Normal"/>
    <w:pPr>
      <w:tabs>
        <w:tab w:val="center" w:pos="4252" w:leader="none"/>
        <w:tab w:val="right" w:pos="8504" w:leader="none"/>
      </w:tabs>
      <w:spacing w:before="0" w:after="0"/>
    </w:pPr>
    <w:rPr/>
  </w:style>
  <w:style w:type="paragraph" w:styleId="Rodap">
    <w:name w:val="Rodapé"/>
    <w:uiPriority w:val="99"/>
    <w:unhideWhenUsed/>
    <w:link w:val="RodapChar"/>
    <w:rsid w:val="00bc4c67"/>
    <w:basedOn w:val="Normal"/>
    <w:pPr>
      <w:tabs>
        <w:tab w:val="center" w:pos="4252" w:leader="none"/>
        <w:tab w:val="right" w:pos="8504" w:leader="none"/>
      </w:tabs>
      <w:spacing w:before="0" w:after="0"/>
    </w:pPr>
    <w:rPr/>
  </w:style>
  <w:style w:type="paragraph" w:styleId="ListParagraph">
    <w:name w:val="List Paragraph"/>
    <w:uiPriority w:val="34"/>
    <w:qFormat/>
    <w:rsid w:val="00eb2ecd"/>
    <w:basedOn w:val="Normal"/>
    <w:pPr>
      <w:spacing w:before="60" w:after="60"/>
      <w:ind w:left="720" w:right="0" w:hanging="0"/>
      <w:contextualSpacing/>
    </w:pPr>
    <w:rPr/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uiPriority w:val="39"/>
    <w:rsid w:val="00eb2ecd"/>
    <w:pPr>
      <w:spacing w:line="240" w:after="0" w:lineRule="auto"/>
    </w:pPr>
    <w:tblPr>
      <w:tblBorders>
        <w:top w:sz="4" w:space="0" w:color="auto" w:val="single"/>
        <w:left w:sz="4" w:space="0" w:color="auto" w:val="single"/>
        <w:bottom w:sz="4" w:space="0" w:color="auto" w:val="single"/>
        <w:right w:sz="4" w:space="0" w:color="auto" w:val="single"/>
        <w:insideH w:sz="4" w:space="0" w:color="auto" w:val="single"/>
        <w:insideV w:sz="4" w:space="0" w:color="auto" w:val="single"/>
      </w:tblBorders>
    </w:tblPr>
  </w:style>
  <w:style w:type="table" w:styleId="Tabelacomgrade">
    <w:name w:val="Table Grid"/>
    <w:basedOn w:val="Tabelanormal"/>
    <w:uiPriority w:val="59"/>
    <w:rsid w:val="00eb2ecd"/>
    <w:pPr>
      <w:spacing w:line="240" w:after="0" w:lineRule="auto"/>
    </w:pPr>
    <w:tblPr>
      <w:tblBorders>
        <w:top w:sz="4" w:space="0" w:color="auto" w:val="single"/>
        <w:left w:sz="4" w:space="0" w:color="auto" w:val="single"/>
        <w:bottom w:sz="4" w:space="0" w:color="auto" w:val="single"/>
        <w:right w:sz="4" w:space="0" w:color="auto" w:val="single"/>
        <w:insideH w:sz="4" w:space="0" w:color="auto" w:val="single"/>
        <w:insideV w:sz="4" w:space="0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4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Application>LibreOffice/4.2.6.3$Linux_X86_64 LibreOffice_project/420$Build-3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2015-02-26T12:35:00Z</dcterms:created>
  <dc:creator>Samara Santos dos Santos</dc:creator>
  <dc:language>pt-BR</dc:language>
  <cp:lastModifiedBy>Samara Santos dos Santos</cp:lastModifiedBy>
  <dcterms:modified xsi:type="dcterms:W3CDTF">2015-03-02T20:37:00Z</dcterms:modified>
  <cp:revision>31</cp:revision>
</cp:coreProperties>
</file>