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48" w:rsidRPr="00F0365A" w:rsidRDefault="00372048" w:rsidP="00372048">
      <w:pPr>
        <w:pStyle w:val="Epgrafe"/>
        <w:rPr>
          <w:szCs w:val="20"/>
        </w:rPr>
      </w:pPr>
      <w:bookmarkStart w:id="0" w:name="_Toc386651616"/>
      <w:r w:rsidRPr="00F0365A">
        <w:rPr>
          <w:szCs w:val="20"/>
        </w:rPr>
        <w:t>Quadro A.11.2.1 – Relatório de cumprimento das recomendações do órgão de controle interno</w:t>
      </w:r>
      <w:bookmarkEnd w:id="0"/>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9"/>
        <w:gridCol w:w="3618"/>
        <w:gridCol w:w="1704"/>
        <w:gridCol w:w="889"/>
        <w:gridCol w:w="1588"/>
      </w:tblGrid>
      <w:tr w:rsidR="00372048" w:rsidRPr="00F0365A" w:rsidTr="00214CA4">
        <w:trPr>
          <w:trHeight w:val="356"/>
        </w:trPr>
        <w:tc>
          <w:tcPr>
            <w:tcW w:w="5000" w:type="pct"/>
            <w:gridSpan w:val="5"/>
            <w:shd w:val="clear" w:color="auto" w:fill="A6A6A6"/>
            <w:noWrap/>
            <w:vAlign w:val="bottom"/>
            <w:hideMark/>
          </w:tcPr>
          <w:p w:rsidR="00372048" w:rsidRPr="00F0365A" w:rsidRDefault="00372048" w:rsidP="00214CA4">
            <w:pPr>
              <w:tabs>
                <w:tab w:val="left" w:pos="3119"/>
              </w:tabs>
              <w:spacing w:line="246" w:lineRule="auto"/>
              <w:jc w:val="center"/>
              <w:rPr>
                <w:b/>
                <w:caps/>
                <w:color w:val="000000"/>
                <w:sz w:val="20"/>
                <w:szCs w:val="20"/>
              </w:rPr>
            </w:pPr>
            <w:r w:rsidRPr="00F0365A">
              <w:rPr>
                <w:b/>
                <w:caps/>
                <w:color w:val="000000"/>
                <w:sz w:val="20"/>
                <w:szCs w:val="20"/>
              </w:rPr>
              <w:t>U</w:t>
            </w:r>
            <w:r w:rsidRPr="00F0365A">
              <w:rPr>
                <w:b/>
                <w:color w:val="000000"/>
                <w:sz w:val="20"/>
                <w:szCs w:val="20"/>
              </w:rPr>
              <w:t>nidade Jurisdicionada</w:t>
            </w:r>
          </w:p>
        </w:tc>
      </w:tr>
      <w:tr w:rsidR="00372048" w:rsidRPr="00F0365A" w:rsidTr="00214CA4">
        <w:trPr>
          <w:trHeight w:val="356"/>
        </w:trPr>
        <w:tc>
          <w:tcPr>
            <w:tcW w:w="4069" w:type="pct"/>
            <w:gridSpan w:val="4"/>
            <w:shd w:val="clear" w:color="auto" w:fill="BFBFBF"/>
            <w:noWrap/>
            <w:vAlign w:val="bottom"/>
            <w:hideMark/>
          </w:tcPr>
          <w:p w:rsidR="00372048" w:rsidRPr="00F0365A" w:rsidRDefault="00372048" w:rsidP="00214CA4">
            <w:pPr>
              <w:tabs>
                <w:tab w:val="left" w:pos="3119"/>
              </w:tabs>
              <w:spacing w:line="246" w:lineRule="auto"/>
              <w:jc w:val="both"/>
              <w:rPr>
                <w:color w:val="000000"/>
                <w:sz w:val="20"/>
                <w:szCs w:val="20"/>
              </w:rPr>
            </w:pPr>
            <w:r w:rsidRPr="00F0365A">
              <w:rPr>
                <w:b/>
                <w:color w:val="000000"/>
                <w:sz w:val="20"/>
                <w:szCs w:val="20"/>
              </w:rPr>
              <w:t>Denominação Completa</w:t>
            </w:r>
          </w:p>
        </w:tc>
        <w:tc>
          <w:tcPr>
            <w:tcW w:w="931" w:type="pct"/>
            <w:shd w:val="clear" w:color="auto" w:fill="BFBFBF"/>
            <w:vAlign w:val="bottom"/>
          </w:tcPr>
          <w:p w:rsidR="00372048" w:rsidRPr="00F0365A" w:rsidRDefault="00372048" w:rsidP="00214CA4">
            <w:pPr>
              <w:tabs>
                <w:tab w:val="left" w:pos="3119"/>
              </w:tabs>
              <w:spacing w:line="246" w:lineRule="auto"/>
              <w:jc w:val="center"/>
              <w:rPr>
                <w:color w:val="000000"/>
                <w:sz w:val="20"/>
                <w:szCs w:val="20"/>
              </w:rPr>
            </w:pPr>
            <w:r w:rsidRPr="00F0365A">
              <w:rPr>
                <w:b/>
                <w:color w:val="000000"/>
                <w:sz w:val="20"/>
                <w:szCs w:val="20"/>
              </w:rPr>
              <w:t>Código SIORG</w:t>
            </w:r>
          </w:p>
        </w:tc>
      </w:tr>
      <w:tr w:rsidR="00372048" w:rsidRPr="00F0365A" w:rsidTr="00214CA4">
        <w:trPr>
          <w:trHeight w:val="356"/>
        </w:trPr>
        <w:tc>
          <w:tcPr>
            <w:tcW w:w="4069" w:type="pct"/>
            <w:gridSpan w:val="4"/>
            <w:shd w:val="clear" w:color="auto" w:fill="FFFFFF"/>
            <w:noWrap/>
            <w:vAlign w:val="center"/>
            <w:hideMark/>
          </w:tcPr>
          <w:p w:rsidR="00372048" w:rsidRPr="00F0365A" w:rsidRDefault="007871FD" w:rsidP="00214CA4">
            <w:pPr>
              <w:tabs>
                <w:tab w:val="left" w:pos="3119"/>
              </w:tabs>
              <w:spacing w:line="246" w:lineRule="auto"/>
              <w:jc w:val="both"/>
              <w:rPr>
                <w:color w:val="000000"/>
                <w:sz w:val="20"/>
                <w:szCs w:val="20"/>
              </w:rPr>
            </w:pPr>
            <w:r w:rsidRPr="00F0365A">
              <w:rPr>
                <w:color w:val="000000"/>
                <w:sz w:val="20"/>
                <w:szCs w:val="20"/>
              </w:rPr>
              <w:t>Instituto Federal de Educação Ciência e Tecnologia do Amazonas</w:t>
            </w:r>
          </w:p>
        </w:tc>
        <w:tc>
          <w:tcPr>
            <w:tcW w:w="931" w:type="pct"/>
            <w:shd w:val="clear" w:color="auto" w:fill="FFFFFF"/>
            <w:vAlign w:val="center"/>
          </w:tcPr>
          <w:p w:rsidR="00372048" w:rsidRPr="00F0365A" w:rsidRDefault="007871FD" w:rsidP="00214CA4">
            <w:pPr>
              <w:tabs>
                <w:tab w:val="left" w:pos="3119"/>
              </w:tabs>
              <w:spacing w:line="246" w:lineRule="auto"/>
              <w:jc w:val="both"/>
              <w:rPr>
                <w:color w:val="000000"/>
                <w:sz w:val="20"/>
                <w:szCs w:val="20"/>
              </w:rPr>
            </w:pPr>
            <w:r w:rsidRPr="00F0365A">
              <w:rPr>
                <w:color w:val="000000"/>
                <w:sz w:val="20"/>
                <w:szCs w:val="20"/>
              </w:rPr>
              <w:t>100910</w:t>
            </w:r>
          </w:p>
        </w:tc>
      </w:tr>
      <w:tr w:rsidR="00372048" w:rsidRPr="00F0365A" w:rsidTr="00214CA4">
        <w:trPr>
          <w:trHeight w:val="356"/>
        </w:trPr>
        <w:tc>
          <w:tcPr>
            <w:tcW w:w="5000" w:type="pct"/>
            <w:gridSpan w:val="5"/>
            <w:shd w:val="clear" w:color="auto" w:fill="A6A6A6"/>
            <w:noWrap/>
            <w:vAlign w:val="center"/>
            <w:hideMark/>
          </w:tcPr>
          <w:p w:rsidR="00372048" w:rsidRPr="00F0365A" w:rsidRDefault="00372048" w:rsidP="00214CA4">
            <w:pPr>
              <w:tabs>
                <w:tab w:val="left" w:pos="3119"/>
              </w:tabs>
              <w:spacing w:line="246" w:lineRule="auto"/>
              <w:jc w:val="center"/>
              <w:rPr>
                <w:b/>
                <w:color w:val="000000"/>
                <w:sz w:val="20"/>
                <w:szCs w:val="20"/>
              </w:rPr>
            </w:pPr>
            <w:r w:rsidRPr="00F0365A">
              <w:rPr>
                <w:b/>
                <w:color w:val="000000"/>
                <w:sz w:val="20"/>
                <w:szCs w:val="20"/>
              </w:rPr>
              <w:t>Recomendações do OCI</w:t>
            </w:r>
          </w:p>
        </w:tc>
      </w:tr>
      <w:tr w:rsidR="00372048" w:rsidRPr="00F0365A" w:rsidTr="00214CA4">
        <w:trPr>
          <w:trHeight w:val="356"/>
        </w:trPr>
        <w:tc>
          <w:tcPr>
            <w:tcW w:w="5000" w:type="pct"/>
            <w:gridSpan w:val="5"/>
            <w:shd w:val="clear" w:color="auto" w:fill="BFBFBF"/>
            <w:noWrap/>
            <w:vAlign w:val="center"/>
            <w:hideMark/>
          </w:tcPr>
          <w:p w:rsidR="00372048" w:rsidRPr="00F0365A" w:rsidRDefault="00372048" w:rsidP="00214CA4">
            <w:pPr>
              <w:tabs>
                <w:tab w:val="left" w:pos="3119"/>
              </w:tabs>
              <w:spacing w:line="246" w:lineRule="auto"/>
              <w:jc w:val="center"/>
              <w:rPr>
                <w:b/>
                <w:color w:val="000000"/>
                <w:sz w:val="20"/>
                <w:szCs w:val="20"/>
              </w:rPr>
            </w:pPr>
            <w:r w:rsidRPr="00F0365A">
              <w:rPr>
                <w:b/>
                <w:color w:val="000000"/>
                <w:sz w:val="20"/>
                <w:szCs w:val="20"/>
              </w:rPr>
              <w:t>Recomendações Expedidas pelo OCI</w:t>
            </w:r>
          </w:p>
        </w:tc>
      </w:tr>
      <w:tr w:rsidR="00372048" w:rsidRPr="00F0365A" w:rsidTr="00214CA4">
        <w:trPr>
          <w:trHeight w:val="356"/>
        </w:trPr>
        <w:tc>
          <w:tcPr>
            <w:tcW w:w="428" w:type="pct"/>
            <w:shd w:val="clear" w:color="auto" w:fill="D9D9D9"/>
            <w:noWrap/>
            <w:vAlign w:val="center"/>
            <w:hideMark/>
          </w:tcPr>
          <w:p w:rsidR="00372048" w:rsidRPr="00F0365A" w:rsidRDefault="00372048" w:rsidP="00214CA4">
            <w:pPr>
              <w:tabs>
                <w:tab w:val="left" w:pos="3119"/>
              </w:tabs>
              <w:spacing w:line="246" w:lineRule="auto"/>
              <w:jc w:val="center"/>
              <w:rPr>
                <w:b/>
                <w:color w:val="000000"/>
                <w:sz w:val="20"/>
                <w:szCs w:val="20"/>
              </w:rPr>
            </w:pPr>
            <w:r w:rsidRPr="00F0365A">
              <w:rPr>
                <w:b/>
                <w:color w:val="000000"/>
                <w:sz w:val="20"/>
                <w:szCs w:val="20"/>
              </w:rPr>
              <w:t>Ordem</w:t>
            </w:r>
          </w:p>
        </w:tc>
        <w:tc>
          <w:tcPr>
            <w:tcW w:w="2121" w:type="pct"/>
            <w:shd w:val="clear" w:color="auto" w:fill="D9D9D9"/>
            <w:vAlign w:val="center"/>
          </w:tcPr>
          <w:p w:rsidR="00372048" w:rsidRPr="00F0365A" w:rsidRDefault="00372048" w:rsidP="00214CA4">
            <w:pPr>
              <w:tabs>
                <w:tab w:val="left" w:pos="3119"/>
              </w:tabs>
              <w:spacing w:line="246" w:lineRule="auto"/>
              <w:jc w:val="center"/>
              <w:rPr>
                <w:b/>
                <w:color w:val="000000"/>
                <w:sz w:val="20"/>
                <w:szCs w:val="20"/>
              </w:rPr>
            </w:pPr>
            <w:r w:rsidRPr="00F0365A">
              <w:rPr>
                <w:b/>
                <w:color w:val="000000"/>
                <w:sz w:val="20"/>
                <w:szCs w:val="20"/>
              </w:rPr>
              <w:t>Identificação do Relatório de Auditoria</w:t>
            </w:r>
          </w:p>
        </w:tc>
        <w:tc>
          <w:tcPr>
            <w:tcW w:w="999" w:type="pct"/>
            <w:shd w:val="clear" w:color="auto" w:fill="D9D9D9"/>
            <w:vAlign w:val="center"/>
          </w:tcPr>
          <w:p w:rsidR="00372048" w:rsidRPr="00F0365A" w:rsidRDefault="00372048" w:rsidP="00214CA4">
            <w:pPr>
              <w:tabs>
                <w:tab w:val="left" w:pos="3119"/>
              </w:tabs>
              <w:spacing w:line="246" w:lineRule="auto"/>
              <w:jc w:val="center"/>
              <w:rPr>
                <w:b/>
                <w:color w:val="000000"/>
                <w:sz w:val="20"/>
                <w:szCs w:val="20"/>
              </w:rPr>
            </w:pPr>
            <w:r w:rsidRPr="00F0365A">
              <w:rPr>
                <w:b/>
                <w:color w:val="000000"/>
                <w:sz w:val="20"/>
                <w:szCs w:val="20"/>
              </w:rPr>
              <w:t>Item do RA</w:t>
            </w:r>
          </w:p>
        </w:tc>
        <w:tc>
          <w:tcPr>
            <w:tcW w:w="1452" w:type="pct"/>
            <w:gridSpan w:val="2"/>
            <w:shd w:val="clear" w:color="auto" w:fill="D9D9D9"/>
            <w:vAlign w:val="center"/>
          </w:tcPr>
          <w:p w:rsidR="00372048" w:rsidRPr="00F0365A" w:rsidRDefault="00372048" w:rsidP="00214CA4">
            <w:pPr>
              <w:tabs>
                <w:tab w:val="left" w:pos="3119"/>
              </w:tabs>
              <w:spacing w:line="246" w:lineRule="auto"/>
              <w:jc w:val="center"/>
              <w:rPr>
                <w:b/>
                <w:color w:val="000000"/>
                <w:sz w:val="20"/>
                <w:szCs w:val="20"/>
              </w:rPr>
            </w:pPr>
            <w:r w:rsidRPr="00F0365A">
              <w:rPr>
                <w:b/>
                <w:color w:val="000000"/>
                <w:sz w:val="20"/>
                <w:szCs w:val="20"/>
              </w:rPr>
              <w:t>Comunicação Expedida</w:t>
            </w:r>
          </w:p>
        </w:tc>
      </w:tr>
      <w:tr w:rsidR="00372048" w:rsidRPr="00F0365A" w:rsidTr="00214CA4">
        <w:trPr>
          <w:trHeight w:val="356"/>
        </w:trPr>
        <w:tc>
          <w:tcPr>
            <w:tcW w:w="428" w:type="pct"/>
            <w:shd w:val="clear" w:color="auto" w:fill="auto"/>
            <w:noWrap/>
            <w:vAlign w:val="center"/>
            <w:hideMark/>
          </w:tcPr>
          <w:p w:rsidR="00372048" w:rsidRPr="00F0365A" w:rsidRDefault="00995D57" w:rsidP="00214CA4">
            <w:pPr>
              <w:tabs>
                <w:tab w:val="left" w:pos="3119"/>
              </w:tabs>
              <w:spacing w:line="246" w:lineRule="auto"/>
              <w:jc w:val="center"/>
              <w:rPr>
                <w:color w:val="000000"/>
                <w:sz w:val="20"/>
                <w:szCs w:val="20"/>
              </w:rPr>
            </w:pPr>
            <w:proofErr w:type="gramStart"/>
            <w:r w:rsidRPr="00F0365A">
              <w:rPr>
                <w:color w:val="000000"/>
                <w:sz w:val="20"/>
                <w:szCs w:val="20"/>
              </w:rPr>
              <w:t>6</w:t>
            </w:r>
            <w:proofErr w:type="gramEnd"/>
          </w:p>
        </w:tc>
        <w:tc>
          <w:tcPr>
            <w:tcW w:w="2121" w:type="pct"/>
            <w:shd w:val="clear" w:color="auto" w:fill="auto"/>
            <w:vAlign w:val="center"/>
          </w:tcPr>
          <w:p w:rsidR="00372048" w:rsidRPr="00F0365A" w:rsidRDefault="007871FD" w:rsidP="00214CA4">
            <w:pPr>
              <w:tabs>
                <w:tab w:val="left" w:pos="3119"/>
              </w:tabs>
              <w:spacing w:line="246" w:lineRule="auto"/>
              <w:jc w:val="center"/>
              <w:rPr>
                <w:color w:val="000000"/>
                <w:sz w:val="20"/>
                <w:szCs w:val="20"/>
              </w:rPr>
            </w:pPr>
            <w:r w:rsidRPr="00F0365A">
              <w:rPr>
                <w:color w:val="000000"/>
                <w:sz w:val="20"/>
                <w:szCs w:val="20"/>
              </w:rPr>
              <w:t>201108737</w:t>
            </w:r>
          </w:p>
        </w:tc>
        <w:tc>
          <w:tcPr>
            <w:tcW w:w="999" w:type="pct"/>
            <w:shd w:val="clear" w:color="auto" w:fill="auto"/>
            <w:vAlign w:val="center"/>
          </w:tcPr>
          <w:p w:rsidR="00372048" w:rsidRPr="00F0365A" w:rsidRDefault="00995D57" w:rsidP="00BA7735">
            <w:pPr>
              <w:tabs>
                <w:tab w:val="left" w:pos="3119"/>
              </w:tabs>
              <w:spacing w:line="246" w:lineRule="auto"/>
              <w:jc w:val="center"/>
              <w:rPr>
                <w:color w:val="000000"/>
                <w:sz w:val="20"/>
                <w:szCs w:val="20"/>
              </w:rPr>
            </w:pPr>
            <w:r w:rsidRPr="00F0365A">
              <w:rPr>
                <w:color w:val="000000"/>
                <w:sz w:val="20"/>
                <w:szCs w:val="20"/>
              </w:rPr>
              <w:t xml:space="preserve"> 41</w:t>
            </w:r>
          </w:p>
        </w:tc>
        <w:tc>
          <w:tcPr>
            <w:tcW w:w="1452" w:type="pct"/>
            <w:gridSpan w:val="2"/>
            <w:shd w:val="clear" w:color="auto" w:fill="auto"/>
            <w:vAlign w:val="center"/>
          </w:tcPr>
          <w:p w:rsidR="00372048" w:rsidRPr="00F0365A" w:rsidRDefault="007871FD" w:rsidP="00214CA4">
            <w:pPr>
              <w:tabs>
                <w:tab w:val="left" w:pos="3119"/>
              </w:tabs>
              <w:spacing w:line="246" w:lineRule="auto"/>
              <w:jc w:val="center"/>
              <w:rPr>
                <w:color w:val="000000"/>
                <w:sz w:val="20"/>
                <w:szCs w:val="20"/>
              </w:rPr>
            </w:pPr>
            <w:r w:rsidRPr="00F0365A">
              <w:rPr>
                <w:color w:val="000000"/>
                <w:sz w:val="20"/>
                <w:szCs w:val="20"/>
              </w:rPr>
              <w:t>Ofício 30898/2014 – CGU AM</w:t>
            </w:r>
          </w:p>
        </w:tc>
      </w:tr>
      <w:tr w:rsidR="00372048" w:rsidRPr="00F0365A" w:rsidTr="00214CA4">
        <w:trPr>
          <w:trHeight w:val="356"/>
        </w:trPr>
        <w:tc>
          <w:tcPr>
            <w:tcW w:w="4069" w:type="pct"/>
            <w:gridSpan w:val="4"/>
            <w:shd w:val="clear" w:color="auto" w:fill="D9D9D9"/>
            <w:noWrap/>
            <w:vAlign w:val="center"/>
            <w:hideMark/>
          </w:tcPr>
          <w:p w:rsidR="00372048" w:rsidRPr="00F0365A" w:rsidRDefault="00372048" w:rsidP="00214CA4">
            <w:pPr>
              <w:tabs>
                <w:tab w:val="left" w:pos="3119"/>
              </w:tabs>
              <w:spacing w:line="246" w:lineRule="auto"/>
              <w:jc w:val="both"/>
              <w:rPr>
                <w:b/>
                <w:color w:val="000000"/>
                <w:sz w:val="20"/>
                <w:szCs w:val="20"/>
              </w:rPr>
            </w:pPr>
            <w:r w:rsidRPr="00F0365A">
              <w:rPr>
                <w:b/>
                <w:color w:val="000000"/>
                <w:sz w:val="20"/>
                <w:szCs w:val="20"/>
              </w:rPr>
              <w:t>Órgão/Entidade Objeto da Recomendação</w:t>
            </w:r>
          </w:p>
        </w:tc>
        <w:tc>
          <w:tcPr>
            <w:tcW w:w="931" w:type="pct"/>
            <w:shd w:val="clear" w:color="auto" w:fill="D9D9D9"/>
            <w:vAlign w:val="center"/>
          </w:tcPr>
          <w:p w:rsidR="00372048" w:rsidRPr="00F0365A" w:rsidRDefault="00372048" w:rsidP="00214CA4">
            <w:pPr>
              <w:tabs>
                <w:tab w:val="left" w:pos="3119"/>
              </w:tabs>
              <w:spacing w:line="246" w:lineRule="auto"/>
              <w:jc w:val="center"/>
              <w:rPr>
                <w:b/>
                <w:color w:val="000000"/>
                <w:sz w:val="20"/>
                <w:szCs w:val="20"/>
              </w:rPr>
            </w:pPr>
            <w:r w:rsidRPr="00F0365A">
              <w:rPr>
                <w:b/>
                <w:color w:val="000000"/>
                <w:sz w:val="20"/>
                <w:szCs w:val="20"/>
              </w:rPr>
              <w:t>Código SIORG</w:t>
            </w:r>
          </w:p>
        </w:tc>
      </w:tr>
      <w:tr w:rsidR="00372048" w:rsidRPr="00F0365A" w:rsidTr="00214CA4">
        <w:trPr>
          <w:trHeight w:val="356"/>
        </w:trPr>
        <w:tc>
          <w:tcPr>
            <w:tcW w:w="4069" w:type="pct"/>
            <w:gridSpan w:val="4"/>
            <w:shd w:val="clear" w:color="auto" w:fill="FFFFFF"/>
            <w:noWrap/>
            <w:vAlign w:val="center"/>
            <w:hideMark/>
          </w:tcPr>
          <w:p w:rsidR="00372048" w:rsidRPr="00F0365A" w:rsidRDefault="00372048" w:rsidP="00214CA4">
            <w:pPr>
              <w:tabs>
                <w:tab w:val="left" w:pos="3119"/>
              </w:tabs>
              <w:spacing w:line="246" w:lineRule="auto"/>
              <w:jc w:val="center"/>
              <w:rPr>
                <w:b/>
                <w:color w:val="000000"/>
                <w:sz w:val="20"/>
                <w:szCs w:val="20"/>
              </w:rPr>
            </w:pPr>
          </w:p>
        </w:tc>
        <w:tc>
          <w:tcPr>
            <w:tcW w:w="931" w:type="pct"/>
            <w:shd w:val="clear" w:color="auto" w:fill="FFFFFF"/>
            <w:vAlign w:val="center"/>
          </w:tcPr>
          <w:p w:rsidR="00372048" w:rsidRPr="00F0365A" w:rsidRDefault="00372048" w:rsidP="00214CA4">
            <w:pPr>
              <w:tabs>
                <w:tab w:val="left" w:pos="3119"/>
              </w:tabs>
              <w:spacing w:line="246" w:lineRule="auto"/>
              <w:jc w:val="center"/>
              <w:rPr>
                <w:b/>
                <w:color w:val="000000"/>
                <w:sz w:val="20"/>
                <w:szCs w:val="20"/>
              </w:rPr>
            </w:pPr>
          </w:p>
        </w:tc>
      </w:tr>
      <w:tr w:rsidR="00372048" w:rsidRPr="00F0365A" w:rsidTr="00214CA4">
        <w:trPr>
          <w:trHeight w:val="356"/>
        </w:trPr>
        <w:tc>
          <w:tcPr>
            <w:tcW w:w="5000" w:type="pct"/>
            <w:gridSpan w:val="5"/>
            <w:shd w:val="clear" w:color="auto" w:fill="D9D9D9"/>
            <w:noWrap/>
            <w:vAlign w:val="bottom"/>
            <w:hideMark/>
          </w:tcPr>
          <w:p w:rsidR="00372048" w:rsidRPr="00F0365A" w:rsidRDefault="00372048" w:rsidP="00214CA4">
            <w:pPr>
              <w:tabs>
                <w:tab w:val="left" w:pos="3119"/>
              </w:tabs>
              <w:spacing w:line="246" w:lineRule="auto"/>
              <w:jc w:val="both"/>
              <w:rPr>
                <w:b/>
                <w:color w:val="000000"/>
                <w:sz w:val="20"/>
                <w:szCs w:val="20"/>
              </w:rPr>
            </w:pPr>
            <w:r w:rsidRPr="00F0365A">
              <w:rPr>
                <w:b/>
                <w:color w:val="000000"/>
                <w:sz w:val="20"/>
                <w:szCs w:val="20"/>
              </w:rPr>
              <w:t>Descrição da Recomendação</w:t>
            </w:r>
          </w:p>
        </w:tc>
      </w:tr>
      <w:tr w:rsidR="00372048" w:rsidRPr="00F0365A" w:rsidTr="00214CA4">
        <w:trPr>
          <w:trHeight w:val="356"/>
        </w:trPr>
        <w:tc>
          <w:tcPr>
            <w:tcW w:w="5000" w:type="pct"/>
            <w:gridSpan w:val="5"/>
            <w:shd w:val="clear" w:color="auto" w:fill="auto"/>
            <w:noWrap/>
            <w:vAlign w:val="bottom"/>
            <w:hideMark/>
          </w:tcPr>
          <w:p w:rsidR="00372048" w:rsidRPr="00F0365A" w:rsidRDefault="00995D57" w:rsidP="00EB1295">
            <w:pPr>
              <w:tabs>
                <w:tab w:val="left" w:pos="3119"/>
              </w:tabs>
              <w:spacing w:line="246" w:lineRule="auto"/>
              <w:jc w:val="both"/>
              <w:rPr>
                <w:color w:val="000000"/>
                <w:sz w:val="20"/>
                <w:szCs w:val="20"/>
              </w:rPr>
            </w:pPr>
            <w:r w:rsidRPr="00F0365A">
              <w:rPr>
                <w:rFonts w:eastAsia="Times New Roman"/>
                <w:color w:val="000000"/>
                <w:sz w:val="20"/>
                <w:szCs w:val="20"/>
                <w:lang w:eastAsia="pt-BR"/>
              </w:rPr>
              <w:t>Em vista do disposto</w:t>
            </w:r>
            <w:proofErr w:type="gramStart"/>
            <w:r w:rsidRPr="00F0365A">
              <w:rPr>
                <w:rFonts w:eastAsia="Times New Roman"/>
                <w:color w:val="000000"/>
                <w:sz w:val="20"/>
                <w:szCs w:val="20"/>
                <w:lang w:eastAsia="pt-BR"/>
              </w:rPr>
              <w:t xml:space="preserve">  </w:t>
            </w:r>
            <w:proofErr w:type="gramEnd"/>
            <w:r w:rsidRPr="00F0365A">
              <w:rPr>
                <w:rFonts w:eastAsia="Times New Roman"/>
                <w:color w:val="000000"/>
                <w:sz w:val="20"/>
                <w:szCs w:val="20"/>
                <w:lang w:eastAsia="pt-BR"/>
              </w:rPr>
              <w:t>no  caput,  do  art. 143, da Lei n. 8.112, de 11.12.1990,   promova  a  apuração  de  responsabilidades  pelos  atos irregulares apontados.</w:t>
            </w:r>
          </w:p>
        </w:tc>
      </w:tr>
      <w:tr w:rsidR="00372048" w:rsidRPr="00F0365A" w:rsidTr="00214CA4">
        <w:trPr>
          <w:trHeight w:val="356"/>
        </w:trPr>
        <w:tc>
          <w:tcPr>
            <w:tcW w:w="5000" w:type="pct"/>
            <w:gridSpan w:val="5"/>
            <w:shd w:val="clear" w:color="auto" w:fill="BFBFBF"/>
            <w:noWrap/>
            <w:vAlign w:val="bottom"/>
            <w:hideMark/>
          </w:tcPr>
          <w:p w:rsidR="00372048" w:rsidRPr="00F0365A" w:rsidRDefault="00372048" w:rsidP="00214CA4">
            <w:pPr>
              <w:tabs>
                <w:tab w:val="left" w:pos="3119"/>
              </w:tabs>
              <w:spacing w:line="246" w:lineRule="auto"/>
              <w:jc w:val="center"/>
              <w:rPr>
                <w:b/>
                <w:color w:val="000000"/>
                <w:sz w:val="20"/>
                <w:szCs w:val="20"/>
              </w:rPr>
            </w:pPr>
            <w:r w:rsidRPr="00F0365A">
              <w:rPr>
                <w:b/>
                <w:color w:val="000000"/>
                <w:sz w:val="20"/>
                <w:szCs w:val="20"/>
              </w:rPr>
              <w:t>Providências Adotadas</w:t>
            </w:r>
          </w:p>
        </w:tc>
      </w:tr>
      <w:tr w:rsidR="00372048" w:rsidRPr="00F0365A" w:rsidTr="00214CA4">
        <w:trPr>
          <w:trHeight w:val="356"/>
        </w:trPr>
        <w:tc>
          <w:tcPr>
            <w:tcW w:w="4069" w:type="pct"/>
            <w:gridSpan w:val="4"/>
            <w:shd w:val="clear" w:color="auto" w:fill="D9D9D9"/>
            <w:noWrap/>
            <w:vAlign w:val="bottom"/>
            <w:hideMark/>
          </w:tcPr>
          <w:p w:rsidR="00372048" w:rsidRPr="00F0365A" w:rsidRDefault="00372048" w:rsidP="00214CA4">
            <w:pPr>
              <w:tabs>
                <w:tab w:val="left" w:pos="3119"/>
              </w:tabs>
              <w:spacing w:line="246" w:lineRule="auto"/>
              <w:jc w:val="both"/>
              <w:rPr>
                <w:b/>
                <w:color w:val="000000"/>
                <w:sz w:val="20"/>
                <w:szCs w:val="20"/>
              </w:rPr>
            </w:pPr>
            <w:r w:rsidRPr="00F0365A">
              <w:rPr>
                <w:b/>
                <w:color w:val="000000"/>
                <w:sz w:val="20"/>
                <w:szCs w:val="20"/>
              </w:rPr>
              <w:t xml:space="preserve">Setor Responsável pela </w:t>
            </w:r>
            <w:proofErr w:type="gramStart"/>
            <w:r w:rsidRPr="00F0365A">
              <w:rPr>
                <w:b/>
                <w:color w:val="000000"/>
                <w:sz w:val="20"/>
                <w:szCs w:val="20"/>
              </w:rPr>
              <w:t>Implementação</w:t>
            </w:r>
            <w:proofErr w:type="gramEnd"/>
          </w:p>
        </w:tc>
        <w:tc>
          <w:tcPr>
            <w:tcW w:w="931" w:type="pct"/>
            <w:shd w:val="clear" w:color="auto" w:fill="D9D9D9"/>
            <w:vAlign w:val="bottom"/>
          </w:tcPr>
          <w:p w:rsidR="00372048" w:rsidRPr="00F0365A" w:rsidRDefault="00372048" w:rsidP="00214CA4">
            <w:pPr>
              <w:tabs>
                <w:tab w:val="left" w:pos="3119"/>
              </w:tabs>
              <w:spacing w:line="246" w:lineRule="auto"/>
              <w:jc w:val="center"/>
              <w:rPr>
                <w:b/>
                <w:color w:val="000000"/>
                <w:sz w:val="20"/>
                <w:szCs w:val="20"/>
              </w:rPr>
            </w:pPr>
            <w:r w:rsidRPr="00F0365A">
              <w:rPr>
                <w:b/>
                <w:color w:val="000000"/>
                <w:sz w:val="20"/>
                <w:szCs w:val="20"/>
              </w:rPr>
              <w:t>Código SIORG</w:t>
            </w:r>
          </w:p>
        </w:tc>
      </w:tr>
      <w:tr w:rsidR="00372048" w:rsidRPr="00F0365A" w:rsidTr="00214CA4">
        <w:trPr>
          <w:trHeight w:val="356"/>
        </w:trPr>
        <w:tc>
          <w:tcPr>
            <w:tcW w:w="4069" w:type="pct"/>
            <w:gridSpan w:val="4"/>
            <w:shd w:val="clear" w:color="auto" w:fill="auto"/>
            <w:noWrap/>
            <w:vAlign w:val="bottom"/>
            <w:hideMark/>
          </w:tcPr>
          <w:p w:rsidR="00372048" w:rsidRPr="00F0365A" w:rsidRDefault="004F6C20" w:rsidP="00214CA4">
            <w:pPr>
              <w:tabs>
                <w:tab w:val="left" w:pos="3119"/>
              </w:tabs>
              <w:spacing w:line="246" w:lineRule="auto"/>
              <w:jc w:val="both"/>
              <w:rPr>
                <w:color w:val="000000"/>
                <w:sz w:val="20"/>
                <w:szCs w:val="20"/>
              </w:rPr>
            </w:pPr>
            <w:r w:rsidRPr="00F0365A">
              <w:rPr>
                <w:color w:val="000000"/>
                <w:sz w:val="20"/>
                <w:szCs w:val="20"/>
              </w:rPr>
              <w:t>UNICOR</w:t>
            </w:r>
          </w:p>
        </w:tc>
        <w:tc>
          <w:tcPr>
            <w:tcW w:w="931" w:type="pct"/>
            <w:shd w:val="clear" w:color="auto" w:fill="auto"/>
            <w:vAlign w:val="bottom"/>
          </w:tcPr>
          <w:p w:rsidR="00372048" w:rsidRPr="00F0365A" w:rsidRDefault="00372048" w:rsidP="00214CA4">
            <w:pPr>
              <w:tabs>
                <w:tab w:val="left" w:pos="3119"/>
              </w:tabs>
              <w:spacing w:line="246" w:lineRule="auto"/>
              <w:jc w:val="both"/>
              <w:rPr>
                <w:color w:val="000000"/>
                <w:sz w:val="20"/>
                <w:szCs w:val="20"/>
              </w:rPr>
            </w:pPr>
          </w:p>
        </w:tc>
      </w:tr>
      <w:tr w:rsidR="00372048" w:rsidRPr="00F0365A" w:rsidTr="00214CA4">
        <w:trPr>
          <w:trHeight w:val="356"/>
        </w:trPr>
        <w:tc>
          <w:tcPr>
            <w:tcW w:w="5000" w:type="pct"/>
            <w:gridSpan w:val="5"/>
            <w:shd w:val="clear" w:color="auto" w:fill="D9D9D9"/>
            <w:noWrap/>
            <w:vAlign w:val="bottom"/>
            <w:hideMark/>
          </w:tcPr>
          <w:p w:rsidR="00372048" w:rsidRPr="00F0365A" w:rsidRDefault="00372048" w:rsidP="00214CA4">
            <w:pPr>
              <w:tabs>
                <w:tab w:val="left" w:pos="3119"/>
              </w:tabs>
              <w:spacing w:line="246" w:lineRule="auto"/>
              <w:jc w:val="both"/>
              <w:rPr>
                <w:color w:val="000000"/>
                <w:sz w:val="20"/>
                <w:szCs w:val="20"/>
              </w:rPr>
            </w:pPr>
            <w:r w:rsidRPr="00F0365A">
              <w:rPr>
                <w:b/>
                <w:color w:val="000000"/>
                <w:sz w:val="20"/>
                <w:szCs w:val="20"/>
              </w:rPr>
              <w:t>Síntese da Providência Adotada</w:t>
            </w:r>
          </w:p>
        </w:tc>
      </w:tr>
      <w:tr w:rsidR="00372048" w:rsidRPr="00F0365A" w:rsidTr="00214CA4">
        <w:trPr>
          <w:trHeight w:val="356"/>
        </w:trPr>
        <w:tc>
          <w:tcPr>
            <w:tcW w:w="5000" w:type="pct"/>
            <w:gridSpan w:val="5"/>
            <w:shd w:val="clear" w:color="auto" w:fill="auto"/>
            <w:noWrap/>
            <w:vAlign w:val="bottom"/>
            <w:hideMark/>
          </w:tcPr>
          <w:p w:rsidR="004F6C20" w:rsidRPr="00F0365A" w:rsidRDefault="004F6C20" w:rsidP="004F6C20">
            <w:pPr>
              <w:tabs>
                <w:tab w:val="left" w:pos="1276"/>
              </w:tabs>
              <w:spacing w:after="0"/>
              <w:jc w:val="both"/>
              <w:rPr>
                <w:sz w:val="20"/>
                <w:szCs w:val="20"/>
              </w:rPr>
            </w:pPr>
            <w:r w:rsidRPr="00F0365A">
              <w:rPr>
                <w:sz w:val="20"/>
                <w:szCs w:val="20"/>
              </w:rPr>
              <w:t xml:space="preserve">O </w:t>
            </w:r>
            <w:r w:rsidR="009966D0">
              <w:rPr>
                <w:sz w:val="20"/>
                <w:szCs w:val="20"/>
              </w:rPr>
              <w:t>PAD nº 23042.000175/2011-97</w:t>
            </w:r>
            <w:r w:rsidRPr="00F0365A">
              <w:rPr>
                <w:sz w:val="20"/>
                <w:szCs w:val="20"/>
              </w:rPr>
              <w:t xml:space="preserve"> foi instaurado mediante a publicação da PORTARIA nº 731-GR/IFAM, de 21 de julho de 2011, no DOU nº 141, de 25 de julho de 2011, sanadas as incompatibilidades, o processo pode finalmente prosseguir a partir de então como PAD, em função da constatação da existência de irregularidades tipificadas como crime, as quais já haviam sido constatadas pela CGU e referenciadas em Relatório de Auditoria.</w:t>
            </w:r>
          </w:p>
          <w:p w:rsidR="004F6C20" w:rsidRPr="00F0365A" w:rsidRDefault="004F6C20" w:rsidP="004F6C20">
            <w:pPr>
              <w:tabs>
                <w:tab w:val="left" w:pos="1276"/>
              </w:tabs>
              <w:spacing w:after="0"/>
              <w:jc w:val="both"/>
              <w:rPr>
                <w:sz w:val="20"/>
                <w:szCs w:val="20"/>
              </w:rPr>
            </w:pPr>
            <w:r w:rsidRPr="00F0365A">
              <w:rPr>
                <w:sz w:val="20"/>
                <w:szCs w:val="20"/>
              </w:rPr>
              <w:t xml:space="preserve">Inicialmente foram ouvidos como testemunhas os servidores diretamente responsáveis pela instrução dos processos de dispensa, bem como os empresários titulares das empresas arroladas no referido PAD. Mediante análise das peças acostadas aos autos, bem como dos depoimentos prestados pelas testemunhas, a Comissão constatou, em tese, as seguintes irregularidades: </w:t>
            </w:r>
            <w:r w:rsidRPr="00F0365A">
              <w:rPr>
                <w:i/>
                <w:sz w:val="20"/>
                <w:szCs w:val="20"/>
                <w:u w:val="single"/>
              </w:rPr>
              <w:t>contratações de serviços de pessoa jurídica sem prévio empenho</w:t>
            </w:r>
            <w:r w:rsidRPr="00F0365A">
              <w:rPr>
                <w:sz w:val="20"/>
                <w:szCs w:val="20"/>
              </w:rPr>
              <w:t xml:space="preserve">; </w:t>
            </w:r>
            <w:r w:rsidRPr="00F0365A">
              <w:rPr>
                <w:i/>
                <w:sz w:val="20"/>
                <w:szCs w:val="20"/>
                <w:u w:val="single"/>
              </w:rPr>
              <w:t>utilização de propostas orçamentárias falsificadas na instrução do processo de dispensa de licitação</w:t>
            </w:r>
            <w:r w:rsidRPr="00F0365A">
              <w:rPr>
                <w:sz w:val="20"/>
                <w:szCs w:val="20"/>
              </w:rPr>
              <w:t xml:space="preserve">; </w:t>
            </w:r>
            <w:r w:rsidRPr="00F0365A">
              <w:rPr>
                <w:i/>
                <w:sz w:val="20"/>
                <w:szCs w:val="20"/>
                <w:u w:val="single"/>
              </w:rPr>
              <w:t>pagamentos feitos mediante processos de dispensa de licitação instruídos com propostas orçamentárias fraudulentas apresentadas pela empresa contratada</w:t>
            </w:r>
            <w:r w:rsidRPr="00F0365A">
              <w:rPr>
                <w:sz w:val="20"/>
                <w:szCs w:val="20"/>
              </w:rPr>
              <w:t xml:space="preserve">; </w:t>
            </w:r>
            <w:r w:rsidRPr="00F0365A">
              <w:rPr>
                <w:i/>
                <w:sz w:val="20"/>
                <w:szCs w:val="20"/>
                <w:u w:val="single"/>
              </w:rPr>
              <w:t>inexistência nos autos de proposta orçamentária do executante dos serviços beneficiado com o pagamento</w:t>
            </w:r>
            <w:r w:rsidRPr="00F0365A">
              <w:rPr>
                <w:sz w:val="20"/>
                <w:szCs w:val="20"/>
              </w:rPr>
              <w:t xml:space="preserve">; </w:t>
            </w:r>
            <w:r w:rsidRPr="00F0365A">
              <w:rPr>
                <w:i/>
                <w:sz w:val="20"/>
                <w:szCs w:val="20"/>
                <w:u w:val="single"/>
              </w:rPr>
              <w:t>falta de zelo do agente público responsável pela instrução dos processos de dispensa, por não ter diligenciado a procedência das propostas apresentadas</w:t>
            </w:r>
            <w:r w:rsidRPr="00F0365A">
              <w:rPr>
                <w:sz w:val="20"/>
                <w:szCs w:val="20"/>
              </w:rPr>
              <w:t xml:space="preserve">; </w:t>
            </w:r>
            <w:r w:rsidRPr="00F0365A">
              <w:rPr>
                <w:i/>
                <w:sz w:val="20"/>
                <w:szCs w:val="20"/>
                <w:u w:val="single"/>
              </w:rPr>
              <w:t>responsabilidade solidária de outros agentes públicos responsáveis pela emissão de empenho e pagamento em favor da executante dos serviços, ante a inexistência de proposta da executante nos autos</w:t>
            </w:r>
            <w:r w:rsidRPr="00F0365A">
              <w:rPr>
                <w:sz w:val="20"/>
                <w:szCs w:val="20"/>
              </w:rPr>
              <w:t>.</w:t>
            </w:r>
          </w:p>
          <w:p w:rsidR="004F6C20" w:rsidRPr="00F0365A" w:rsidRDefault="004F6C20" w:rsidP="004F6C20">
            <w:pPr>
              <w:tabs>
                <w:tab w:val="left" w:pos="1276"/>
              </w:tabs>
              <w:spacing w:after="0"/>
              <w:jc w:val="both"/>
              <w:rPr>
                <w:sz w:val="20"/>
                <w:szCs w:val="20"/>
              </w:rPr>
            </w:pPr>
            <w:r w:rsidRPr="00F0365A">
              <w:rPr>
                <w:sz w:val="20"/>
                <w:szCs w:val="20"/>
              </w:rPr>
              <w:t>Cumpre-nos informar, pois, que a instrução do processo em tela ficou sem movimentação por certo tempo em função da falta de opção de servidores habilitados a participarem da Comissão, tendo em vista que os poucos disponíveis já estavam envolvidos em outros processos estabelecidos como prioridades, por configurarem crimes de assédio sexual contra vítimas menores de idade, bem como o caso de estupro de vulnerável envolvendo docente do IFAM – Campus São Gabriel da Cachoeira, ocorrido em imóvel funcional.</w:t>
            </w:r>
          </w:p>
          <w:p w:rsidR="00372048" w:rsidRPr="00F0365A" w:rsidRDefault="004F6C20" w:rsidP="004F6C20">
            <w:pPr>
              <w:tabs>
                <w:tab w:val="left" w:pos="3119"/>
              </w:tabs>
              <w:spacing w:line="246" w:lineRule="auto"/>
              <w:jc w:val="both"/>
              <w:rPr>
                <w:color w:val="000000"/>
                <w:sz w:val="20"/>
                <w:szCs w:val="20"/>
              </w:rPr>
            </w:pPr>
            <w:r w:rsidRPr="00F0365A">
              <w:rPr>
                <w:sz w:val="20"/>
                <w:szCs w:val="20"/>
              </w:rPr>
              <w:t>Não obstante os problemas referentes à indisponibilidade de servidores habilitados, o processo foi retomado e se encontra em andamento.</w:t>
            </w:r>
          </w:p>
        </w:tc>
      </w:tr>
      <w:tr w:rsidR="00372048" w:rsidRPr="00F0365A" w:rsidTr="00214CA4">
        <w:trPr>
          <w:trHeight w:val="356"/>
        </w:trPr>
        <w:tc>
          <w:tcPr>
            <w:tcW w:w="5000" w:type="pct"/>
            <w:gridSpan w:val="5"/>
            <w:shd w:val="clear" w:color="auto" w:fill="D9D9D9"/>
            <w:noWrap/>
            <w:vAlign w:val="bottom"/>
          </w:tcPr>
          <w:p w:rsidR="00372048" w:rsidRPr="00F0365A" w:rsidRDefault="00372048" w:rsidP="00214CA4">
            <w:pPr>
              <w:tabs>
                <w:tab w:val="left" w:pos="3119"/>
              </w:tabs>
              <w:spacing w:line="246" w:lineRule="auto"/>
              <w:jc w:val="both"/>
              <w:rPr>
                <w:b/>
                <w:color w:val="000000"/>
                <w:sz w:val="20"/>
                <w:szCs w:val="20"/>
              </w:rPr>
            </w:pPr>
            <w:r w:rsidRPr="00F0365A">
              <w:rPr>
                <w:b/>
                <w:color w:val="000000"/>
                <w:sz w:val="20"/>
                <w:szCs w:val="20"/>
              </w:rPr>
              <w:t>Síntese dos Resultados Obtidos</w:t>
            </w:r>
          </w:p>
        </w:tc>
      </w:tr>
      <w:tr w:rsidR="00372048" w:rsidRPr="00F0365A" w:rsidTr="00214CA4">
        <w:trPr>
          <w:trHeight w:val="356"/>
        </w:trPr>
        <w:tc>
          <w:tcPr>
            <w:tcW w:w="5000" w:type="pct"/>
            <w:gridSpan w:val="5"/>
            <w:shd w:val="clear" w:color="auto" w:fill="auto"/>
            <w:noWrap/>
            <w:vAlign w:val="bottom"/>
            <w:hideMark/>
          </w:tcPr>
          <w:p w:rsidR="00372048" w:rsidRPr="00F0365A" w:rsidRDefault="00664C6B" w:rsidP="00214CA4">
            <w:pPr>
              <w:tabs>
                <w:tab w:val="left" w:pos="3119"/>
              </w:tabs>
              <w:spacing w:line="246" w:lineRule="auto"/>
              <w:jc w:val="both"/>
              <w:rPr>
                <w:color w:val="000000"/>
                <w:sz w:val="20"/>
                <w:szCs w:val="20"/>
              </w:rPr>
            </w:pPr>
            <w:r w:rsidRPr="00F0365A">
              <w:rPr>
                <w:color w:val="000000"/>
                <w:sz w:val="20"/>
                <w:szCs w:val="20"/>
              </w:rPr>
              <w:t>Aguardando o retorno da Controladoria Geral da União.</w:t>
            </w:r>
          </w:p>
        </w:tc>
      </w:tr>
      <w:tr w:rsidR="00372048" w:rsidRPr="00F0365A" w:rsidTr="00214CA4">
        <w:trPr>
          <w:trHeight w:val="356"/>
        </w:trPr>
        <w:tc>
          <w:tcPr>
            <w:tcW w:w="5000" w:type="pct"/>
            <w:gridSpan w:val="5"/>
            <w:shd w:val="clear" w:color="auto" w:fill="D9D9D9"/>
            <w:noWrap/>
            <w:vAlign w:val="bottom"/>
          </w:tcPr>
          <w:p w:rsidR="00372048" w:rsidRPr="00F0365A" w:rsidRDefault="00372048" w:rsidP="00214CA4">
            <w:pPr>
              <w:tabs>
                <w:tab w:val="left" w:pos="3119"/>
              </w:tabs>
              <w:spacing w:line="246" w:lineRule="auto"/>
              <w:jc w:val="both"/>
              <w:rPr>
                <w:b/>
                <w:color w:val="000000"/>
                <w:sz w:val="20"/>
                <w:szCs w:val="20"/>
              </w:rPr>
            </w:pPr>
            <w:r w:rsidRPr="00F0365A">
              <w:rPr>
                <w:b/>
                <w:color w:val="000000"/>
                <w:sz w:val="20"/>
                <w:szCs w:val="20"/>
              </w:rPr>
              <w:t>Análise Crítica dos Fatores Positivos/Negativos que Facilitaram/Prejudicaram a Adoção de Providências pelo Gestor</w:t>
            </w:r>
            <w:bookmarkStart w:id="1" w:name="_GoBack"/>
            <w:bookmarkEnd w:id="1"/>
          </w:p>
        </w:tc>
      </w:tr>
      <w:tr w:rsidR="00372048" w:rsidRPr="00F0365A" w:rsidTr="00214CA4">
        <w:trPr>
          <w:trHeight w:val="356"/>
        </w:trPr>
        <w:tc>
          <w:tcPr>
            <w:tcW w:w="5000" w:type="pct"/>
            <w:gridSpan w:val="5"/>
            <w:shd w:val="clear" w:color="auto" w:fill="FFFFFF"/>
            <w:noWrap/>
            <w:vAlign w:val="bottom"/>
          </w:tcPr>
          <w:p w:rsidR="00372048" w:rsidRPr="00F0365A" w:rsidRDefault="006A5E4B" w:rsidP="009966D0">
            <w:pPr>
              <w:tabs>
                <w:tab w:val="left" w:pos="3119"/>
              </w:tabs>
              <w:spacing w:line="246" w:lineRule="auto"/>
              <w:jc w:val="both"/>
              <w:rPr>
                <w:color w:val="000000"/>
                <w:sz w:val="20"/>
                <w:szCs w:val="20"/>
              </w:rPr>
            </w:pPr>
            <w:r>
              <w:rPr>
                <w:color w:val="000000"/>
                <w:sz w:val="20"/>
                <w:szCs w:val="20"/>
              </w:rPr>
              <w:lastRenderedPageBreak/>
              <w:t>A adoção das providências referentes ao exercício do poder dever de apurar pela autoridade gestora foram tempestivas e oportunas. No entanto, fatores como a escassez de servidores habilitados a parti</w:t>
            </w:r>
            <w:r w:rsidR="009966D0">
              <w:rPr>
                <w:color w:val="000000"/>
                <w:sz w:val="20"/>
                <w:szCs w:val="20"/>
              </w:rPr>
              <w:t>ciparem de comissões, bem como o crescimento exacerbado</w:t>
            </w:r>
            <w:r>
              <w:rPr>
                <w:color w:val="000000"/>
                <w:sz w:val="20"/>
                <w:szCs w:val="20"/>
              </w:rPr>
              <w:t xml:space="preserve"> de ocorrências que demandam </w:t>
            </w:r>
            <w:r w:rsidR="009966D0">
              <w:rPr>
                <w:color w:val="000000"/>
                <w:sz w:val="20"/>
                <w:szCs w:val="20"/>
              </w:rPr>
              <w:t xml:space="preserve">a </w:t>
            </w:r>
            <w:r>
              <w:rPr>
                <w:color w:val="000000"/>
                <w:sz w:val="20"/>
                <w:szCs w:val="20"/>
              </w:rPr>
              <w:t xml:space="preserve">instauração de </w:t>
            </w:r>
            <w:r w:rsidR="009966D0">
              <w:rPr>
                <w:color w:val="000000"/>
                <w:sz w:val="20"/>
                <w:szCs w:val="20"/>
              </w:rPr>
              <w:t>procedimentos apuratórios, alguns deles de natureza gravíssima que requeriam prioridade e urgência, resultou na interrupção da instrução de alguns processos</w:t>
            </w:r>
            <w:r w:rsidR="006639F4">
              <w:rPr>
                <w:color w:val="000000"/>
                <w:sz w:val="20"/>
                <w:szCs w:val="20"/>
              </w:rPr>
              <w:t xml:space="preserve"> em andamento</w:t>
            </w:r>
            <w:r w:rsidR="009966D0">
              <w:rPr>
                <w:color w:val="000000"/>
                <w:sz w:val="20"/>
                <w:szCs w:val="20"/>
              </w:rPr>
              <w:t xml:space="preserve">, </w:t>
            </w:r>
            <w:r w:rsidR="006639F4">
              <w:rPr>
                <w:color w:val="000000"/>
                <w:sz w:val="20"/>
                <w:szCs w:val="20"/>
              </w:rPr>
              <w:t>como no caso do processo em comento.</w:t>
            </w:r>
          </w:p>
        </w:tc>
      </w:tr>
    </w:tbl>
    <w:p w:rsidR="00372048" w:rsidRPr="00F0365A" w:rsidRDefault="00372048" w:rsidP="00372048">
      <w:pPr>
        <w:pStyle w:val="Epgrafe"/>
        <w:rPr>
          <w:szCs w:val="20"/>
        </w:rPr>
      </w:pPr>
    </w:p>
    <w:p w:rsidR="00A85134" w:rsidRPr="00F0365A" w:rsidRDefault="00A85134">
      <w:pPr>
        <w:rPr>
          <w:sz w:val="20"/>
          <w:szCs w:val="20"/>
        </w:rPr>
      </w:pPr>
    </w:p>
    <w:sectPr w:rsidR="00A85134" w:rsidRPr="00F036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F6"/>
    <w:rsid w:val="00066DAC"/>
    <w:rsid w:val="002B5746"/>
    <w:rsid w:val="00372048"/>
    <w:rsid w:val="004135DF"/>
    <w:rsid w:val="004F6C20"/>
    <w:rsid w:val="0052621E"/>
    <w:rsid w:val="005300A4"/>
    <w:rsid w:val="006639F4"/>
    <w:rsid w:val="00664C6B"/>
    <w:rsid w:val="0069530C"/>
    <w:rsid w:val="006A5E4B"/>
    <w:rsid w:val="006B3BF6"/>
    <w:rsid w:val="007871FD"/>
    <w:rsid w:val="00995D57"/>
    <w:rsid w:val="009966D0"/>
    <w:rsid w:val="00A03861"/>
    <w:rsid w:val="00A52FDC"/>
    <w:rsid w:val="00A85134"/>
    <w:rsid w:val="00B335D9"/>
    <w:rsid w:val="00BA7735"/>
    <w:rsid w:val="00DA4C1C"/>
    <w:rsid w:val="00DA7D86"/>
    <w:rsid w:val="00EB1295"/>
    <w:rsid w:val="00F03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48"/>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pgrafe">
    <w:name w:val="#Epígrafe"/>
    <w:basedOn w:val="Normal"/>
    <w:autoRedefine/>
    <w:qFormat/>
    <w:rsid w:val="00372048"/>
    <w:pPr>
      <w:widowControl w:val="0"/>
      <w:tabs>
        <w:tab w:val="left" w:pos="426"/>
      </w:tabs>
      <w:suppressAutoHyphens/>
      <w:autoSpaceDE/>
      <w:autoSpaceDN/>
      <w:adjustRightInd/>
      <w:spacing w:before="90" w:after="45"/>
      <w:ind w:left="57"/>
    </w:pPr>
    <w:rPr>
      <w:b/>
      <w:sz w:val="20"/>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48"/>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pgrafe">
    <w:name w:val="#Epígrafe"/>
    <w:basedOn w:val="Normal"/>
    <w:autoRedefine/>
    <w:qFormat/>
    <w:rsid w:val="00372048"/>
    <w:pPr>
      <w:widowControl w:val="0"/>
      <w:tabs>
        <w:tab w:val="left" w:pos="426"/>
      </w:tabs>
      <w:suppressAutoHyphens/>
      <w:autoSpaceDE/>
      <w:autoSpaceDN/>
      <w:adjustRightInd/>
      <w:spacing w:before="90" w:after="45"/>
      <w:ind w:left="57"/>
    </w:pPr>
    <w:rPr>
      <w:b/>
      <w:sz w:val="20"/>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Santos dos Santos</dc:creator>
  <cp:lastModifiedBy>Samara Santos dos Santos</cp:lastModifiedBy>
  <cp:revision>2</cp:revision>
  <dcterms:created xsi:type="dcterms:W3CDTF">2015-03-06T18:24:00Z</dcterms:created>
  <dcterms:modified xsi:type="dcterms:W3CDTF">2015-03-06T18:24:00Z</dcterms:modified>
</cp:coreProperties>
</file>