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r w:rsidRPr="0070364F">
        <w:t>Quadro A.</w:t>
      </w:r>
      <w:r>
        <w:t>11.2.1</w:t>
      </w:r>
      <w:r w:rsidRPr="0070364F">
        <w:t xml:space="preserve"> </w:t>
      </w:r>
      <w:r>
        <w:t xml:space="preserve">–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96"/>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396DE6"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396DE6" w:rsidP="00396DE6">
            <w:pPr>
              <w:tabs>
                <w:tab w:val="left" w:pos="3119"/>
              </w:tabs>
              <w:spacing w:line="246" w:lineRule="auto"/>
              <w:jc w:val="center"/>
              <w:rPr>
                <w:color w:val="000000"/>
                <w:sz w:val="20"/>
              </w:rPr>
            </w:pPr>
            <w:r>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396DE6">
        <w:trPr>
          <w:trHeight w:val="356"/>
        </w:trPr>
        <w:tc>
          <w:tcPr>
            <w:tcW w:w="499"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050"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396DE6">
        <w:trPr>
          <w:trHeight w:val="356"/>
        </w:trPr>
        <w:tc>
          <w:tcPr>
            <w:tcW w:w="499" w:type="pct"/>
            <w:shd w:val="clear" w:color="auto" w:fill="auto"/>
            <w:noWrap/>
            <w:vAlign w:val="center"/>
            <w:hideMark/>
          </w:tcPr>
          <w:p w:rsidR="00372048" w:rsidRPr="0070364F" w:rsidRDefault="001C0F5A" w:rsidP="001B6E33">
            <w:pPr>
              <w:tabs>
                <w:tab w:val="left" w:pos="3119"/>
              </w:tabs>
              <w:spacing w:line="246" w:lineRule="auto"/>
              <w:jc w:val="center"/>
              <w:rPr>
                <w:color w:val="000000"/>
                <w:sz w:val="20"/>
              </w:rPr>
            </w:pPr>
            <w:r>
              <w:rPr>
                <w:color w:val="000000"/>
                <w:sz w:val="20"/>
              </w:rPr>
              <w:t>26</w:t>
            </w:r>
          </w:p>
        </w:tc>
        <w:tc>
          <w:tcPr>
            <w:tcW w:w="2050" w:type="pct"/>
            <w:shd w:val="clear" w:color="auto" w:fill="auto"/>
            <w:vAlign w:val="center"/>
          </w:tcPr>
          <w:p w:rsidR="00372048" w:rsidRPr="0070364F" w:rsidRDefault="001C0F5A" w:rsidP="00214CA4">
            <w:pPr>
              <w:tabs>
                <w:tab w:val="left" w:pos="3119"/>
              </w:tabs>
              <w:spacing w:line="246" w:lineRule="auto"/>
              <w:jc w:val="center"/>
              <w:rPr>
                <w:color w:val="000000"/>
                <w:sz w:val="20"/>
              </w:rPr>
            </w:pPr>
            <w:r>
              <w:rPr>
                <w:color w:val="000000"/>
                <w:sz w:val="20"/>
              </w:rPr>
              <w:t>244003</w:t>
            </w:r>
          </w:p>
        </w:tc>
        <w:tc>
          <w:tcPr>
            <w:tcW w:w="999" w:type="pct"/>
            <w:shd w:val="clear" w:color="auto" w:fill="auto"/>
            <w:vAlign w:val="center"/>
          </w:tcPr>
          <w:p w:rsidR="00372048" w:rsidRPr="0070364F" w:rsidRDefault="001C0F5A" w:rsidP="00214CA4">
            <w:pPr>
              <w:tabs>
                <w:tab w:val="left" w:pos="3119"/>
              </w:tabs>
              <w:spacing w:line="246" w:lineRule="auto"/>
              <w:jc w:val="center"/>
              <w:rPr>
                <w:color w:val="000000"/>
                <w:sz w:val="20"/>
              </w:rPr>
            </w:pPr>
            <w:r>
              <w:rPr>
                <w:color w:val="000000"/>
                <w:sz w:val="20"/>
              </w:rPr>
              <w:t>8</w:t>
            </w:r>
          </w:p>
        </w:tc>
        <w:tc>
          <w:tcPr>
            <w:tcW w:w="1452" w:type="pct"/>
            <w:gridSpan w:val="2"/>
            <w:shd w:val="clear" w:color="auto" w:fill="auto"/>
            <w:vAlign w:val="center"/>
          </w:tcPr>
          <w:p w:rsidR="00372048" w:rsidRPr="0070364F" w:rsidRDefault="00396DE6"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402177" w:rsidRDefault="00402177" w:rsidP="00402177">
            <w:pPr>
              <w:tabs>
                <w:tab w:val="left" w:pos="3119"/>
              </w:tabs>
              <w:spacing w:line="246" w:lineRule="auto"/>
              <w:rPr>
                <w:color w:val="000000"/>
                <w:sz w:val="20"/>
              </w:rPr>
            </w:pPr>
            <w:r w:rsidRPr="00402177">
              <w:rPr>
                <w:color w:val="000000"/>
                <w:sz w:val="20"/>
              </w:rPr>
              <w:t>Reitoria</w:t>
            </w:r>
          </w:p>
        </w:tc>
        <w:tc>
          <w:tcPr>
            <w:tcW w:w="931" w:type="pct"/>
            <w:shd w:val="clear" w:color="auto" w:fill="FFFFFF"/>
            <w:vAlign w:val="center"/>
          </w:tcPr>
          <w:p w:rsidR="00372048" w:rsidRPr="00402177" w:rsidRDefault="00402177" w:rsidP="00214CA4">
            <w:pPr>
              <w:tabs>
                <w:tab w:val="left" w:pos="3119"/>
              </w:tabs>
              <w:spacing w:line="246" w:lineRule="auto"/>
              <w:jc w:val="center"/>
              <w:rPr>
                <w:color w:val="000000"/>
                <w:sz w:val="20"/>
              </w:rPr>
            </w:pPr>
            <w:r w:rsidRPr="00402177">
              <w:rPr>
                <w:color w:val="000000"/>
                <w:sz w:val="20"/>
              </w:rPr>
              <w:t>100910</w:t>
            </w: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382F68" w:rsidP="00214CA4">
            <w:pPr>
              <w:tabs>
                <w:tab w:val="left" w:pos="3119"/>
              </w:tabs>
              <w:spacing w:line="246" w:lineRule="auto"/>
              <w:jc w:val="both"/>
              <w:rPr>
                <w:color w:val="000000"/>
                <w:sz w:val="20"/>
              </w:rPr>
            </w:pPr>
            <w:r>
              <w:rPr>
                <w:color w:val="000000"/>
                <w:sz w:val="20"/>
              </w:rPr>
              <w:t xml:space="preserve">8: </w:t>
            </w:r>
            <w:r w:rsidRPr="00382F68">
              <w:rPr>
                <w:color w:val="000000"/>
                <w:sz w:val="20"/>
              </w:rPr>
              <w:t>Dar continuidade às ações que vem tomando quanto à obtenção de novos laudos técnicos que forneçam suporte aos pagamentos dos adicionais de insalubridade e de periculosidade e, após isto, efetuar a revisão de todas as concessões já feitas.</w:t>
            </w:r>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r>
              <w:rPr>
                <w:b/>
                <w:color w:val="000000"/>
                <w:sz w:val="20"/>
              </w:rPr>
              <w:t>I</w:t>
            </w:r>
            <w:r w:rsidRPr="0070364F">
              <w:rPr>
                <w:b/>
                <w:color w:val="000000"/>
                <w:sz w:val="20"/>
              </w:rPr>
              <w:t>mplementação</w:t>
            </w:r>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382F68" w:rsidP="00382F68">
            <w:pPr>
              <w:tabs>
                <w:tab w:val="left" w:pos="3119"/>
              </w:tabs>
              <w:spacing w:line="246" w:lineRule="auto"/>
              <w:jc w:val="both"/>
              <w:rPr>
                <w:color w:val="000000"/>
                <w:sz w:val="20"/>
              </w:rPr>
            </w:pPr>
            <w:r>
              <w:rPr>
                <w:color w:val="000000"/>
                <w:sz w:val="20"/>
              </w:rPr>
              <w:t>PROAD-DGP</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382F68" w:rsidRPr="00382F68" w:rsidRDefault="00382F68" w:rsidP="00382F68">
            <w:pPr>
              <w:spacing w:after="0"/>
              <w:jc w:val="both"/>
              <w:rPr>
                <w:rFonts w:ascii="Calibri" w:hAnsi="Calibri"/>
                <w:sz w:val="20"/>
                <w:szCs w:val="20"/>
              </w:rPr>
            </w:pPr>
            <w:r>
              <w:rPr>
                <w:color w:val="000000"/>
                <w:sz w:val="20"/>
              </w:rPr>
              <w:t>8</w:t>
            </w:r>
            <w:r w:rsidRPr="00382F68">
              <w:rPr>
                <w:color w:val="000000"/>
                <w:sz w:val="20"/>
                <w:szCs w:val="20"/>
              </w:rPr>
              <w:t xml:space="preserve">: </w:t>
            </w:r>
            <w:r w:rsidRPr="00382F68">
              <w:rPr>
                <w:rFonts w:ascii="Calibri" w:hAnsi="Calibri"/>
                <w:sz w:val="20"/>
                <w:szCs w:val="20"/>
              </w:rPr>
              <w:t>Memorando n 013 / REITORIA /CSESMT/IFAM/2014</w:t>
            </w:r>
          </w:p>
          <w:p w:rsidR="00382F68" w:rsidRPr="00382F68" w:rsidRDefault="00382F68" w:rsidP="00382F68">
            <w:pPr>
              <w:spacing w:after="0"/>
              <w:jc w:val="both"/>
              <w:rPr>
                <w:rFonts w:ascii="Calibri" w:hAnsi="Calibri"/>
                <w:sz w:val="20"/>
                <w:szCs w:val="20"/>
              </w:rPr>
            </w:pPr>
            <w:r w:rsidRPr="00382F68">
              <w:rPr>
                <w:rFonts w:ascii="Calibri" w:hAnsi="Calibri"/>
                <w:sz w:val="20"/>
                <w:szCs w:val="20"/>
              </w:rPr>
              <w:t>Já foram elaborados os Laudos Técnicos de Avaliação Ambiental e Relatório de Recomendações de Segurança do Trabalho dos campi:</w:t>
            </w:r>
          </w:p>
          <w:p w:rsidR="00382F68" w:rsidRPr="00382F68" w:rsidRDefault="00382F68" w:rsidP="00382F68">
            <w:pPr>
              <w:spacing w:after="0"/>
              <w:jc w:val="both"/>
              <w:rPr>
                <w:rFonts w:ascii="Calibri" w:hAnsi="Calibri"/>
                <w:sz w:val="20"/>
                <w:szCs w:val="20"/>
              </w:rPr>
            </w:pPr>
            <w:r w:rsidRPr="00382F68">
              <w:rPr>
                <w:rFonts w:ascii="Calibri" w:hAnsi="Calibri"/>
                <w:sz w:val="20"/>
                <w:szCs w:val="20"/>
              </w:rPr>
              <w:t xml:space="preserve">Lábrea </w:t>
            </w:r>
            <w:proofErr w:type="gramStart"/>
            <w:r w:rsidRPr="00382F68">
              <w:rPr>
                <w:rFonts w:ascii="Calibri" w:hAnsi="Calibri"/>
                <w:sz w:val="20"/>
                <w:szCs w:val="20"/>
              </w:rPr>
              <w:t xml:space="preserve">( </w:t>
            </w:r>
            <w:proofErr w:type="gramEnd"/>
            <w:r w:rsidRPr="00382F68">
              <w:rPr>
                <w:rFonts w:ascii="Calibri" w:hAnsi="Calibri"/>
                <w:sz w:val="20"/>
                <w:szCs w:val="20"/>
              </w:rPr>
              <w:t>dezembro de 2013); Tabatinga ( janeiro de 2014); Manaus Distrito Industrial ( junho de 2014); Manaus Zona Leste ( Novembro de 2014); São Gabriel da Cachoeira ( dezembro de 2014); Os laudos e relatórios para os outros campi serão elaborados conforme cronograma em anexo.</w:t>
            </w:r>
          </w:p>
          <w:p w:rsidR="00382F68" w:rsidRPr="00382F68" w:rsidRDefault="00382F68" w:rsidP="00382F68">
            <w:pPr>
              <w:spacing w:after="0"/>
              <w:jc w:val="both"/>
              <w:rPr>
                <w:rFonts w:ascii="Calibri" w:hAnsi="Calibri"/>
                <w:sz w:val="20"/>
                <w:szCs w:val="20"/>
              </w:rPr>
            </w:pPr>
            <w:r w:rsidRPr="00382F68">
              <w:rPr>
                <w:rFonts w:ascii="Calibri" w:hAnsi="Calibri"/>
                <w:sz w:val="20"/>
                <w:szCs w:val="20"/>
              </w:rPr>
              <w:t>Memorando n 384/DGP/PROAD/IFAM/14</w:t>
            </w:r>
          </w:p>
          <w:p w:rsidR="00382F68" w:rsidRPr="00382F68" w:rsidRDefault="00382F68" w:rsidP="00382F68">
            <w:pPr>
              <w:pStyle w:val="PargrafodaLista"/>
              <w:ind w:left="0"/>
              <w:jc w:val="both"/>
              <w:rPr>
                <w:rFonts w:asciiTheme="minorHAnsi" w:hAnsiTheme="minorHAnsi" w:cs="Arial"/>
              </w:rPr>
            </w:pPr>
            <w:r w:rsidRPr="00382F68">
              <w:rPr>
                <w:rFonts w:asciiTheme="minorHAnsi" w:hAnsiTheme="minorHAnsi" w:cs="Arial"/>
              </w:rPr>
              <w:t>Foi elaborado Fluxograma explicativo conforme Orientação Normativa Nº 06 MPOG quanto às etapas de concessão dos adicionais, disponível na página oficial do IFAM, além de Formulários de solicitação do adicional. Os servidores lotados nos campi onde já foi emitido Laudo atualizado têm solicitado gradativamente tal concessão e tais documentações enviadas à essa DGP têm sido analisadas, para enquadramento (ou não) conforme tempo de exposição dos trabalhadores naqueles ambientes considerados insalubres / perigosos;</w:t>
            </w:r>
          </w:p>
          <w:p w:rsidR="00382F68" w:rsidRPr="00382F68" w:rsidRDefault="00382F68" w:rsidP="00382F68">
            <w:pPr>
              <w:pStyle w:val="PargrafodaLista"/>
              <w:ind w:left="0"/>
              <w:jc w:val="both"/>
              <w:rPr>
                <w:rFonts w:asciiTheme="minorHAnsi" w:hAnsiTheme="minorHAnsi" w:cs="Arial"/>
              </w:rPr>
            </w:pPr>
            <w:r w:rsidRPr="00382F68">
              <w:rPr>
                <w:rFonts w:asciiTheme="minorHAnsi" w:hAnsiTheme="minorHAnsi" w:cs="Arial"/>
              </w:rPr>
              <w:t>Naqueles ambientes onde foi emitido Laudo Técnico Ambiental atualizado, pretendemos, já no 1º semestre de 2015, realizar a regularização (concessão / suspensão), conforme ON 06, de 18/03/2013 do MPOG:</w:t>
            </w:r>
          </w:p>
          <w:p w:rsidR="00382F68" w:rsidRPr="00382F68" w:rsidRDefault="00382F68" w:rsidP="00382F68">
            <w:pPr>
              <w:spacing w:after="0"/>
              <w:jc w:val="both"/>
              <w:rPr>
                <w:rFonts w:cs="Arial"/>
                <w:i/>
                <w:sz w:val="20"/>
                <w:szCs w:val="20"/>
              </w:rPr>
            </w:pPr>
            <w:r w:rsidRPr="00382F68">
              <w:rPr>
                <w:rFonts w:cs="Arial"/>
                <w:i/>
                <w:sz w:val="20"/>
                <w:szCs w:val="20"/>
              </w:rPr>
              <w:t xml:space="preserve">Art. 13. A execução do pagamento dos adicionais de periculosidade e de insalubridade somente será processada à vista de </w:t>
            </w:r>
            <w:r w:rsidRPr="00382F68">
              <w:rPr>
                <w:rFonts w:cs="Arial"/>
                <w:b/>
                <w:i/>
                <w:sz w:val="20"/>
                <w:szCs w:val="20"/>
              </w:rPr>
              <w:t>portaria de localização ou de exercício do servidor e de portaria de concessão do adicional</w:t>
            </w:r>
            <w:r w:rsidRPr="00382F68">
              <w:rPr>
                <w:rFonts w:cs="Arial"/>
                <w:i/>
                <w:sz w:val="20"/>
                <w:szCs w:val="20"/>
              </w:rPr>
              <w:t xml:space="preserve">, bem assim de laudo técnico, cabendo à autoridade pagadora conferir a </w:t>
            </w:r>
            <w:r w:rsidRPr="00382F68">
              <w:rPr>
                <w:rFonts w:cs="Arial"/>
                <w:b/>
                <w:i/>
                <w:sz w:val="20"/>
                <w:szCs w:val="20"/>
              </w:rPr>
              <w:t>exatidão dos documentos</w:t>
            </w:r>
            <w:r w:rsidRPr="00382F68">
              <w:rPr>
                <w:rFonts w:cs="Arial"/>
                <w:i/>
                <w:sz w:val="20"/>
                <w:szCs w:val="20"/>
              </w:rPr>
              <w:t xml:space="preserve"> antes de autorizar o pagamento.</w:t>
            </w:r>
          </w:p>
          <w:p w:rsidR="00382F68" w:rsidRPr="00382F68" w:rsidRDefault="00382F68" w:rsidP="00382F68">
            <w:pPr>
              <w:spacing w:after="0"/>
              <w:jc w:val="both"/>
              <w:rPr>
                <w:rFonts w:cs="Arial"/>
                <w:i/>
                <w:sz w:val="20"/>
                <w:szCs w:val="20"/>
              </w:rPr>
            </w:pPr>
            <w:r w:rsidRPr="00382F68">
              <w:rPr>
                <w:rFonts w:cs="Arial"/>
                <w:i/>
                <w:sz w:val="20"/>
                <w:szCs w:val="20"/>
              </w:rPr>
              <w:t>Parágrafo único. Para fins de pagamento do adicional, será observada a data da portaria de localização, concessão, redução ou cancelamento, para ambientes já periciados e declarados insalubres e/ou perigosos, que deverão ser publicadas em boletim de pessoal ou de serviço.</w:t>
            </w:r>
          </w:p>
          <w:p w:rsidR="00382F68" w:rsidRPr="00382F68" w:rsidRDefault="00382F68" w:rsidP="00382F68">
            <w:pPr>
              <w:spacing w:after="0"/>
              <w:jc w:val="both"/>
              <w:rPr>
                <w:rFonts w:cs="Arial"/>
                <w:i/>
                <w:sz w:val="20"/>
                <w:szCs w:val="20"/>
              </w:rPr>
            </w:pPr>
            <w:r w:rsidRPr="00382F68">
              <w:rPr>
                <w:rFonts w:cs="Arial"/>
                <w:b/>
                <w:i/>
                <w:sz w:val="20"/>
                <w:szCs w:val="20"/>
              </w:rPr>
              <w:t>Art. 14. O pagamento dos adicionais e da gratificação de que trata esta Orientação Normativa será suspenso quando cessar o risco ou quando o servidor for afastado do local ou da atividade que deu origem à concessão.</w:t>
            </w:r>
          </w:p>
          <w:p w:rsidR="00382F68" w:rsidRPr="00382F68" w:rsidRDefault="00382F68" w:rsidP="00382F68">
            <w:pPr>
              <w:spacing w:after="0"/>
              <w:jc w:val="both"/>
              <w:rPr>
                <w:rFonts w:cs="Arial"/>
                <w:sz w:val="20"/>
                <w:szCs w:val="20"/>
              </w:rPr>
            </w:pPr>
            <w:r w:rsidRPr="00382F68">
              <w:rPr>
                <w:rFonts w:cs="Arial"/>
                <w:i/>
                <w:sz w:val="20"/>
                <w:szCs w:val="20"/>
              </w:rPr>
              <w:t xml:space="preserve">Art. 15. Cabe à unidade de recursos humanos do órgão ou da entidade realizar a atualização permanente dos servidores que fazem jus aos adicionais no respectivo módulo do </w:t>
            </w:r>
            <w:proofErr w:type="spellStart"/>
            <w:r w:rsidRPr="00382F68">
              <w:rPr>
                <w:rFonts w:cs="Arial"/>
                <w:b/>
                <w:i/>
                <w:sz w:val="20"/>
                <w:szCs w:val="20"/>
              </w:rPr>
              <w:t>SIAPENet</w:t>
            </w:r>
            <w:proofErr w:type="spellEnd"/>
            <w:r w:rsidRPr="00382F68">
              <w:rPr>
                <w:rFonts w:cs="Arial"/>
                <w:i/>
                <w:sz w:val="20"/>
                <w:szCs w:val="20"/>
              </w:rPr>
              <w:t xml:space="preserve">, conforme movimentação de pessoal, sendo, também, de sua responsabilidade, proceder a suspensão do </w:t>
            </w:r>
            <w:r w:rsidRPr="00382F68">
              <w:rPr>
                <w:rFonts w:cs="Arial"/>
                <w:i/>
                <w:sz w:val="20"/>
                <w:szCs w:val="20"/>
              </w:rPr>
              <w:lastRenderedPageBreak/>
              <w:t>pagamento, mediante comunicação oficial ao servidor interessado.</w:t>
            </w:r>
          </w:p>
          <w:p w:rsidR="00372048" w:rsidRPr="0070364F" w:rsidRDefault="00382F68" w:rsidP="00382F68">
            <w:pPr>
              <w:tabs>
                <w:tab w:val="left" w:pos="3119"/>
              </w:tabs>
              <w:spacing w:line="246" w:lineRule="auto"/>
              <w:jc w:val="both"/>
              <w:rPr>
                <w:color w:val="000000"/>
                <w:sz w:val="20"/>
              </w:rPr>
            </w:pPr>
            <w:r w:rsidRPr="00382F68">
              <w:rPr>
                <w:rFonts w:asciiTheme="minorHAnsi" w:hAnsiTheme="minorHAnsi" w:cs="Arial"/>
                <w:sz w:val="20"/>
                <w:szCs w:val="20"/>
              </w:rPr>
              <w:t xml:space="preserve">Para atender ao dispositivo no </w:t>
            </w:r>
            <w:proofErr w:type="spellStart"/>
            <w:r w:rsidRPr="00382F68">
              <w:rPr>
                <w:rFonts w:asciiTheme="minorHAnsi" w:hAnsiTheme="minorHAnsi" w:cs="Arial"/>
                <w:sz w:val="20"/>
                <w:szCs w:val="20"/>
              </w:rPr>
              <w:t>Art</w:t>
            </w:r>
            <w:proofErr w:type="spellEnd"/>
            <w:r w:rsidRPr="00382F68">
              <w:rPr>
                <w:rFonts w:asciiTheme="minorHAnsi" w:hAnsiTheme="minorHAnsi" w:cs="Arial"/>
                <w:sz w:val="20"/>
                <w:szCs w:val="20"/>
              </w:rPr>
              <w:t xml:space="preserve"> 15 da referida ON 06, faz-se necessário realizar uma força tarefa a fim de que sejam atualizadas as informações cadastrais dos 1.365 servidores, uma vez que, para que possamos </w:t>
            </w:r>
            <w:r w:rsidRPr="00382F68">
              <w:rPr>
                <w:rFonts w:asciiTheme="minorHAnsi" w:hAnsiTheme="minorHAnsi" w:cs="Arial"/>
                <w:b/>
                <w:sz w:val="20"/>
                <w:szCs w:val="20"/>
              </w:rPr>
              <w:t>“</w:t>
            </w:r>
            <w:r w:rsidRPr="00382F68">
              <w:rPr>
                <w:rFonts w:asciiTheme="minorHAnsi" w:hAnsiTheme="minorHAnsi" w:cs="Arial"/>
                <w:b/>
                <w:i/>
                <w:sz w:val="20"/>
                <w:szCs w:val="20"/>
              </w:rPr>
              <w:t>proceder a suspensão do pagamento, mediante comunicação oficial ao servidor interessado”</w:t>
            </w:r>
            <w:r w:rsidRPr="00382F68">
              <w:rPr>
                <w:rFonts w:asciiTheme="minorHAnsi" w:hAnsiTheme="minorHAnsi" w:cs="Arial"/>
                <w:i/>
                <w:sz w:val="20"/>
                <w:szCs w:val="20"/>
              </w:rPr>
              <w:t xml:space="preserve"> </w:t>
            </w:r>
            <w:r w:rsidRPr="00382F68">
              <w:rPr>
                <w:rFonts w:asciiTheme="minorHAnsi" w:hAnsiTheme="minorHAnsi" w:cs="Arial"/>
                <w:sz w:val="20"/>
                <w:szCs w:val="20"/>
              </w:rPr>
              <w:t>faz-se necessário que tais dados cadastrais estejam atualizados. Objetivamos concluir essa atualização cadastral até Março de 2015 (definir prazo).</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lastRenderedPageBreak/>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402177" w:rsidP="00214CA4">
            <w:pPr>
              <w:tabs>
                <w:tab w:val="left" w:pos="3119"/>
              </w:tabs>
              <w:spacing w:line="246" w:lineRule="auto"/>
              <w:jc w:val="both"/>
              <w:rPr>
                <w:color w:val="000000"/>
                <w:sz w:val="20"/>
              </w:rPr>
            </w:pPr>
            <w:r>
              <w:rPr>
                <w:color w:val="000000"/>
                <w:sz w:val="20"/>
              </w:rPr>
              <w:t>Aguardando retorno da CGU.</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Facilitaram/P</w:t>
            </w:r>
            <w:r w:rsidRPr="0070364F">
              <w:rPr>
                <w:b/>
                <w:color w:val="000000"/>
                <w:sz w:val="20"/>
              </w:rPr>
              <w:t xml:space="preserve">rejudicaram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72048" w:rsidRPr="0070364F" w:rsidTr="00214CA4">
        <w:trPr>
          <w:trHeight w:val="356"/>
        </w:trPr>
        <w:tc>
          <w:tcPr>
            <w:tcW w:w="5000" w:type="pct"/>
            <w:gridSpan w:val="5"/>
            <w:shd w:val="clear" w:color="auto" w:fill="FFFFFF"/>
            <w:noWrap/>
            <w:vAlign w:val="bottom"/>
          </w:tcPr>
          <w:p w:rsidR="00E3393E" w:rsidRDefault="00E3393E" w:rsidP="004D351E">
            <w:pPr>
              <w:tabs>
                <w:tab w:val="left" w:pos="3119"/>
              </w:tabs>
              <w:spacing w:line="246" w:lineRule="auto"/>
              <w:jc w:val="both"/>
              <w:rPr>
                <w:b/>
                <w:color w:val="FF0000"/>
                <w:sz w:val="20"/>
                <w:szCs w:val="20"/>
                <w:u w:val="single"/>
              </w:rPr>
            </w:pPr>
            <w:r w:rsidRPr="0004775A">
              <w:rPr>
                <w:b/>
                <w:bCs/>
                <w:color w:val="000000"/>
                <w:sz w:val="20"/>
              </w:rPr>
              <w:t>Pontos positivos</w:t>
            </w:r>
            <w:r>
              <w:rPr>
                <w:color w:val="000000"/>
                <w:sz w:val="20"/>
              </w:rPr>
              <w:t xml:space="preserve">: </w:t>
            </w:r>
          </w:p>
          <w:p w:rsidR="00AD3F8E" w:rsidRDefault="00E3393E" w:rsidP="00AD3F8E">
            <w:pPr>
              <w:pStyle w:val="Epgrafe"/>
              <w:jc w:val="both"/>
              <w:rPr>
                <w:b w:val="0"/>
              </w:rPr>
            </w:pPr>
            <w:r w:rsidRPr="00AD3F8E">
              <w:rPr>
                <w:b w:val="0"/>
              </w:rPr>
              <w:t xml:space="preserve">Priorizamos a elaboração dos laudos de campus até então não avaliados, ou seja, sem nenhum laudo de referência quanto à insalubridade/periculosidade. </w:t>
            </w:r>
          </w:p>
          <w:p w:rsidR="00AD3F8E" w:rsidRDefault="00E3393E" w:rsidP="00AD3F8E">
            <w:pPr>
              <w:pStyle w:val="Epgrafe"/>
              <w:jc w:val="both"/>
              <w:rPr>
                <w:b w:val="0"/>
                <w:color w:val="000000"/>
              </w:rPr>
            </w:pPr>
            <w:r w:rsidRPr="00AD3F8E">
              <w:rPr>
                <w:b w:val="0"/>
              </w:rPr>
              <w:t>Nesta situação, encontram</w:t>
            </w:r>
            <w:r w:rsidR="00AD3F8E">
              <w:rPr>
                <w:b w:val="0"/>
              </w:rPr>
              <w:t>-se</w:t>
            </w:r>
            <w:r w:rsidRPr="00AD3F8E">
              <w:rPr>
                <w:b w:val="0"/>
              </w:rPr>
              <w:t xml:space="preserve"> as unidades localizadas no interior do Amazonas.</w:t>
            </w:r>
            <w:r w:rsidRPr="00AD3F8E">
              <w:rPr>
                <w:b w:val="0"/>
                <w:color w:val="000000"/>
              </w:rPr>
              <w:t xml:space="preserve"> </w:t>
            </w:r>
          </w:p>
          <w:p w:rsidR="00E3393E" w:rsidRPr="00AD3F8E" w:rsidRDefault="00E3393E" w:rsidP="00AD3F8E">
            <w:pPr>
              <w:pStyle w:val="Epgrafe"/>
              <w:jc w:val="both"/>
              <w:rPr>
                <w:b w:val="0"/>
              </w:rPr>
            </w:pPr>
            <w:r w:rsidRPr="00AD3F8E">
              <w:rPr>
                <w:b w:val="0"/>
              </w:rPr>
              <w:t>Na capital, a concessão dos adicionais tem sido embasada na emissão do último laudo,</w:t>
            </w:r>
            <w:r w:rsidR="00AD3F8E">
              <w:rPr>
                <w:b w:val="0"/>
              </w:rPr>
              <w:t xml:space="preserve"> a qual </w:t>
            </w:r>
            <w:r w:rsidRPr="00AD3F8E">
              <w:rPr>
                <w:b w:val="0"/>
              </w:rPr>
              <w:t xml:space="preserve">está em vigência </w:t>
            </w:r>
            <w:r w:rsidR="00AD3F8E">
              <w:rPr>
                <w:b w:val="0"/>
              </w:rPr>
              <w:t>apenas no Campus Manaus Centro, portanto</w:t>
            </w:r>
            <w:r w:rsidRPr="00AD3F8E">
              <w:rPr>
                <w:b w:val="0"/>
              </w:rPr>
              <w:t xml:space="preserve"> a CSESMT </w:t>
            </w:r>
            <w:r w:rsidR="00AD3F8E">
              <w:rPr>
                <w:b w:val="0"/>
              </w:rPr>
              <w:t xml:space="preserve">cumpre </w:t>
            </w:r>
            <w:r w:rsidRPr="00AD3F8E">
              <w:rPr>
                <w:b w:val="0"/>
              </w:rPr>
              <w:t>o cronograma de execução de elaboração de Laudos.</w:t>
            </w:r>
          </w:p>
          <w:p w:rsidR="00E3393E" w:rsidRPr="0004775A" w:rsidRDefault="00E3393E" w:rsidP="00E3393E">
            <w:pPr>
              <w:tabs>
                <w:tab w:val="left" w:pos="3119"/>
              </w:tabs>
              <w:spacing w:line="246" w:lineRule="auto"/>
              <w:jc w:val="both"/>
              <w:rPr>
                <w:sz w:val="20"/>
                <w:szCs w:val="20"/>
              </w:rPr>
            </w:pPr>
            <w:r w:rsidRPr="0004775A">
              <w:rPr>
                <w:b/>
                <w:bCs/>
                <w:color w:val="000000"/>
                <w:sz w:val="20"/>
                <w:szCs w:val="20"/>
              </w:rPr>
              <w:t>Pontos negativos</w:t>
            </w:r>
            <w:r>
              <w:rPr>
                <w:color w:val="000000"/>
                <w:sz w:val="20"/>
                <w:szCs w:val="20"/>
              </w:rPr>
              <w:t xml:space="preserve">: </w:t>
            </w:r>
            <w:bookmarkStart w:id="1" w:name="_GoBack"/>
            <w:bookmarkEnd w:id="1"/>
            <w:r w:rsidRPr="008F17FC">
              <w:rPr>
                <w:color w:val="000000"/>
                <w:sz w:val="20"/>
                <w:szCs w:val="20"/>
              </w:rPr>
              <w:t>As dificuldades se dão pelo pequeno número de servidores capacitados para emissão desses laudos</w:t>
            </w:r>
            <w:r w:rsidR="00AD3F8E">
              <w:rPr>
                <w:color w:val="000000"/>
                <w:sz w:val="20"/>
                <w:szCs w:val="20"/>
              </w:rPr>
              <w:t xml:space="preserve">, visto que contamos somente um profissional da área.  Observamos </w:t>
            </w:r>
            <w:r w:rsidRPr="008F17FC">
              <w:rPr>
                <w:color w:val="000000"/>
                <w:sz w:val="20"/>
                <w:szCs w:val="20"/>
              </w:rPr>
              <w:t>que os serviços não estão parados</w:t>
            </w:r>
            <w:r>
              <w:rPr>
                <w:color w:val="000000"/>
                <w:sz w:val="20"/>
              </w:rPr>
              <w:t xml:space="preserve"> e os novos laudos estão </w:t>
            </w:r>
            <w:r w:rsidR="00AD3F8E">
              <w:rPr>
                <w:color w:val="000000"/>
                <w:sz w:val="20"/>
              </w:rPr>
              <w:t>em fase de elaboração</w:t>
            </w:r>
            <w:r>
              <w:rPr>
                <w:color w:val="000000"/>
                <w:sz w:val="20"/>
              </w:rPr>
              <w:t xml:space="preserve">. </w:t>
            </w:r>
          </w:p>
          <w:p w:rsidR="00372048" w:rsidRPr="0070364F" w:rsidRDefault="00372048" w:rsidP="00E3393E">
            <w:pPr>
              <w:tabs>
                <w:tab w:val="left" w:pos="3119"/>
              </w:tabs>
              <w:spacing w:line="246" w:lineRule="auto"/>
              <w:jc w:val="both"/>
              <w:rPr>
                <w:color w:val="000000"/>
                <w:sz w:val="20"/>
              </w:rPr>
            </w:pPr>
          </w:p>
        </w:tc>
      </w:tr>
    </w:tbl>
    <w:p w:rsidR="00372048" w:rsidRDefault="00372048" w:rsidP="00372048">
      <w:pPr>
        <w:pStyle w:val="Epgrafe"/>
      </w:pPr>
    </w:p>
    <w:p w:rsidR="00A85134" w:rsidRDefault="00A85134"/>
    <w:sectPr w:rsidR="00A85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1B6E33"/>
    <w:rsid w:val="001C0F5A"/>
    <w:rsid w:val="00372048"/>
    <w:rsid w:val="00382F68"/>
    <w:rsid w:val="00396DE6"/>
    <w:rsid w:val="00402177"/>
    <w:rsid w:val="004D351E"/>
    <w:rsid w:val="006B3BF6"/>
    <w:rsid w:val="00893146"/>
    <w:rsid w:val="009C7EA3"/>
    <w:rsid w:val="00A11536"/>
    <w:rsid w:val="00A85134"/>
    <w:rsid w:val="00AD3F8E"/>
    <w:rsid w:val="00E3393E"/>
    <w:rsid w:val="00EE4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AD3F8E"/>
    <w:pPr>
      <w:widowControl w:val="0"/>
      <w:tabs>
        <w:tab w:val="left" w:pos="426"/>
      </w:tabs>
      <w:suppressAutoHyphens/>
      <w:autoSpaceDE/>
      <w:autoSpaceDN/>
      <w:adjustRightInd/>
      <w:spacing w:before="90" w:after="45"/>
      <w:ind w:left="57"/>
    </w:pPr>
    <w:rPr>
      <w:b/>
      <w:sz w:val="20"/>
      <w:szCs w:val="16"/>
      <w:lang w:bidi="en-US"/>
    </w:rPr>
  </w:style>
  <w:style w:type="paragraph" w:styleId="PargrafodaLista">
    <w:name w:val="List Paragraph"/>
    <w:basedOn w:val="Normal"/>
    <w:uiPriority w:val="34"/>
    <w:qFormat/>
    <w:rsid w:val="00382F68"/>
    <w:pPr>
      <w:autoSpaceDE/>
      <w:autoSpaceDN/>
      <w:adjustRightInd/>
      <w:spacing w:before="0" w:after="0"/>
      <w:ind w:left="720"/>
      <w:contextualSpacing/>
    </w:pPr>
    <w:rPr>
      <w:rFonts w:eastAsia="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AD3F8E"/>
    <w:pPr>
      <w:widowControl w:val="0"/>
      <w:tabs>
        <w:tab w:val="left" w:pos="426"/>
      </w:tabs>
      <w:suppressAutoHyphens/>
      <w:autoSpaceDE/>
      <w:autoSpaceDN/>
      <w:adjustRightInd/>
      <w:spacing w:before="90" w:after="45"/>
      <w:ind w:left="57"/>
    </w:pPr>
    <w:rPr>
      <w:b/>
      <w:sz w:val="20"/>
      <w:szCs w:val="16"/>
      <w:lang w:bidi="en-US"/>
    </w:rPr>
  </w:style>
  <w:style w:type="paragraph" w:styleId="PargrafodaLista">
    <w:name w:val="List Paragraph"/>
    <w:basedOn w:val="Normal"/>
    <w:uiPriority w:val="34"/>
    <w:qFormat/>
    <w:rsid w:val="00382F68"/>
    <w:pPr>
      <w:autoSpaceDE/>
      <w:autoSpaceDN/>
      <w:adjustRightInd/>
      <w:spacing w:before="0" w:after="0"/>
      <w:ind w:left="720"/>
      <w:contextualSpacing/>
    </w:pPr>
    <w:rPr>
      <w:rFonts w:eastAsia="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2015-03-10T20:46:00Z</dcterms:created>
  <dcterms:modified xsi:type="dcterms:W3CDTF">2015-03-10T20:46:00Z</dcterms:modified>
</cp:coreProperties>
</file>