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48" w:rsidRPr="0070364F" w:rsidRDefault="00372048" w:rsidP="00372048">
      <w:pPr>
        <w:pStyle w:val="Epgrafe"/>
      </w:pPr>
      <w:bookmarkStart w:id="0" w:name="_Toc386651616"/>
      <w:bookmarkStart w:id="1" w:name="_GoBack"/>
      <w:bookmarkEnd w:id="1"/>
      <w:r w:rsidRPr="0070364F">
        <w:t>Quadro A.</w:t>
      </w:r>
      <w:r>
        <w:t xml:space="preserve">11.2.1– </w:t>
      </w:r>
      <w:r w:rsidRPr="0070364F">
        <w:t xml:space="preserve">Relatório de cumprimento das </w:t>
      </w:r>
      <w:r>
        <w:t>recomendações do órgão de controle interno</w:t>
      </w:r>
      <w:bookmarkEnd w:id="0"/>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496"/>
        <w:gridCol w:w="1704"/>
        <w:gridCol w:w="889"/>
        <w:gridCol w:w="1588"/>
      </w:tblGrid>
      <w:tr w:rsidR="00372048" w:rsidRPr="0070364F" w:rsidTr="00214CA4">
        <w:trPr>
          <w:trHeight w:val="356"/>
        </w:trPr>
        <w:tc>
          <w:tcPr>
            <w:tcW w:w="5000" w:type="pct"/>
            <w:gridSpan w:val="5"/>
            <w:shd w:val="clear" w:color="auto" w:fill="A6A6A6"/>
            <w:noWrap/>
            <w:vAlign w:val="bottom"/>
            <w:hideMark/>
          </w:tcPr>
          <w:p w:rsidR="00372048" w:rsidRPr="0070364F" w:rsidRDefault="00372048" w:rsidP="00214CA4">
            <w:pPr>
              <w:tabs>
                <w:tab w:val="left" w:pos="3119"/>
              </w:tabs>
              <w:spacing w:line="246" w:lineRule="auto"/>
              <w:jc w:val="center"/>
              <w:rPr>
                <w:b/>
                <w:caps/>
                <w:color w:val="000000"/>
                <w:sz w:val="20"/>
              </w:rPr>
            </w:pPr>
            <w:r w:rsidRPr="0070364F">
              <w:rPr>
                <w:b/>
                <w:caps/>
                <w:color w:val="000000"/>
                <w:sz w:val="20"/>
              </w:rPr>
              <w:t>U</w:t>
            </w:r>
            <w:r w:rsidRPr="0070364F">
              <w:rPr>
                <w:b/>
                <w:color w:val="000000"/>
                <w:sz w:val="20"/>
              </w:rPr>
              <w:t>nidade Jurisdicionada</w:t>
            </w:r>
          </w:p>
        </w:tc>
      </w:tr>
      <w:tr w:rsidR="00372048" w:rsidRPr="0070364F" w:rsidTr="00214CA4">
        <w:trPr>
          <w:trHeight w:val="356"/>
        </w:trPr>
        <w:tc>
          <w:tcPr>
            <w:tcW w:w="4069" w:type="pct"/>
            <w:gridSpan w:val="4"/>
            <w:shd w:val="clear" w:color="auto" w:fill="BFBFBF"/>
            <w:noWrap/>
            <w:vAlign w:val="bottom"/>
            <w:hideMark/>
          </w:tcPr>
          <w:p w:rsidR="00372048" w:rsidRPr="0070364F" w:rsidRDefault="00372048" w:rsidP="00214CA4">
            <w:pPr>
              <w:tabs>
                <w:tab w:val="left" w:pos="3119"/>
              </w:tabs>
              <w:spacing w:line="246" w:lineRule="auto"/>
              <w:jc w:val="both"/>
              <w:rPr>
                <w:color w:val="000000"/>
                <w:sz w:val="20"/>
              </w:rPr>
            </w:pPr>
            <w:r>
              <w:rPr>
                <w:b/>
                <w:color w:val="000000"/>
                <w:sz w:val="20"/>
              </w:rPr>
              <w:t>Denominação C</w:t>
            </w:r>
            <w:r w:rsidRPr="0070364F">
              <w:rPr>
                <w:b/>
                <w:color w:val="000000"/>
                <w:sz w:val="20"/>
              </w:rPr>
              <w:t>ompleta</w:t>
            </w:r>
          </w:p>
        </w:tc>
        <w:tc>
          <w:tcPr>
            <w:tcW w:w="931" w:type="pct"/>
            <w:shd w:val="clear" w:color="auto" w:fill="BFBFBF"/>
            <w:vAlign w:val="bottom"/>
          </w:tcPr>
          <w:p w:rsidR="00372048" w:rsidRPr="0070364F" w:rsidRDefault="00372048" w:rsidP="00214CA4">
            <w:pPr>
              <w:tabs>
                <w:tab w:val="left" w:pos="3119"/>
              </w:tabs>
              <w:spacing w:line="246" w:lineRule="auto"/>
              <w:jc w:val="center"/>
              <w:rPr>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70364F" w:rsidRDefault="00396DE6" w:rsidP="00214CA4">
            <w:pPr>
              <w:tabs>
                <w:tab w:val="left" w:pos="3119"/>
              </w:tabs>
              <w:spacing w:line="246" w:lineRule="auto"/>
              <w:jc w:val="both"/>
              <w:rPr>
                <w:color w:val="000000"/>
                <w:sz w:val="20"/>
              </w:rPr>
            </w:pPr>
            <w:r>
              <w:rPr>
                <w:color w:val="000000"/>
                <w:sz w:val="20"/>
              </w:rPr>
              <w:t>Instituto Federal de Educação, Ciência e Tecnologia do Amazonas</w:t>
            </w:r>
          </w:p>
        </w:tc>
        <w:tc>
          <w:tcPr>
            <w:tcW w:w="931" w:type="pct"/>
            <w:shd w:val="clear" w:color="auto" w:fill="FFFFFF"/>
            <w:vAlign w:val="center"/>
          </w:tcPr>
          <w:p w:rsidR="00372048" w:rsidRPr="0070364F" w:rsidRDefault="00396DE6" w:rsidP="00396DE6">
            <w:pPr>
              <w:tabs>
                <w:tab w:val="left" w:pos="3119"/>
              </w:tabs>
              <w:spacing w:line="246" w:lineRule="auto"/>
              <w:jc w:val="center"/>
              <w:rPr>
                <w:color w:val="000000"/>
                <w:sz w:val="20"/>
              </w:rPr>
            </w:pPr>
            <w:r>
              <w:rPr>
                <w:color w:val="000000"/>
                <w:sz w:val="20"/>
              </w:rPr>
              <w:t>100910</w:t>
            </w:r>
          </w:p>
        </w:tc>
      </w:tr>
      <w:tr w:rsidR="00372048" w:rsidRPr="0070364F" w:rsidTr="00214CA4">
        <w:trPr>
          <w:trHeight w:val="356"/>
        </w:trPr>
        <w:tc>
          <w:tcPr>
            <w:tcW w:w="5000" w:type="pct"/>
            <w:gridSpan w:val="5"/>
            <w:shd w:val="clear" w:color="auto" w:fill="A6A6A6"/>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w:t>
            </w:r>
            <w:r w:rsidRPr="0070364F">
              <w:rPr>
                <w:b/>
                <w:color w:val="000000"/>
                <w:sz w:val="20"/>
              </w:rPr>
              <w:t xml:space="preserve"> do </w:t>
            </w:r>
            <w:r>
              <w:rPr>
                <w:b/>
                <w:color w:val="000000"/>
                <w:sz w:val="20"/>
              </w:rPr>
              <w:t>OCI</w:t>
            </w:r>
          </w:p>
        </w:tc>
      </w:tr>
      <w:tr w:rsidR="00372048" w:rsidRPr="0070364F" w:rsidTr="00214CA4">
        <w:trPr>
          <w:trHeight w:val="356"/>
        </w:trPr>
        <w:tc>
          <w:tcPr>
            <w:tcW w:w="5000" w:type="pct"/>
            <w:gridSpan w:val="5"/>
            <w:shd w:val="clear" w:color="auto" w:fill="BFBFBF"/>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 Expedidas pelo OCI</w:t>
            </w:r>
          </w:p>
        </w:tc>
      </w:tr>
      <w:tr w:rsidR="00372048" w:rsidRPr="0070364F" w:rsidTr="00396DE6">
        <w:trPr>
          <w:trHeight w:val="356"/>
        </w:trPr>
        <w:tc>
          <w:tcPr>
            <w:tcW w:w="499" w:type="pct"/>
            <w:shd w:val="clear" w:color="auto" w:fill="D9D9D9"/>
            <w:noWrap/>
            <w:vAlign w:val="center"/>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Ordem</w:t>
            </w:r>
          </w:p>
        </w:tc>
        <w:tc>
          <w:tcPr>
            <w:tcW w:w="2050"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Pr>
                <w:b/>
                <w:color w:val="000000"/>
                <w:sz w:val="20"/>
              </w:rPr>
              <w:t>Identificação do Relatório de Auditoria</w:t>
            </w:r>
          </w:p>
        </w:tc>
        <w:tc>
          <w:tcPr>
            <w:tcW w:w="999"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Item</w:t>
            </w:r>
            <w:r>
              <w:rPr>
                <w:b/>
                <w:color w:val="000000"/>
                <w:sz w:val="20"/>
              </w:rPr>
              <w:t xml:space="preserve"> do RA</w:t>
            </w:r>
          </w:p>
        </w:tc>
        <w:tc>
          <w:tcPr>
            <w:tcW w:w="1452" w:type="pct"/>
            <w:gridSpan w:val="2"/>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Comunicação Expedida</w:t>
            </w:r>
          </w:p>
        </w:tc>
      </w:tr>
      <w:tr w:rsidR="00372048" w:rsidRPr="0070364F" w:rsidTr="00396DE6">
        <w:trPr>
          <w:trHeight w:val="356"/>
        </w:trPr>
        <w:tc>
          <w:tcPr>
            <w:tcW w:w="499" w:type="pct"/>
            <w:shd w:val="clear" w:color="auto" w:fill="auto"/>
            <w:noWrap/>
            <w:vAlign w:val="center"/>
            <w:hideMark/>
          </w:tcPr>
          <w:p w:rsidR="00372048" w:rsidRPr="0070364F" w:rsidRDefault="00984E92" w:rsidP="00984E92">
            <w:pPr>
              <w:tabs>
                <w:tab w:val="left" w:pos="3119"/>
              </w:tabs>
              <w:spacing w:line="246" w:lineRule="auto"/>
              <w:jc w:val="center"/>
              <w:rPr>
                <w:color w:val="000000"/>
                <w:sz w:val="20"/>
              </w:rPr>
            </w:pPr>
            <w:r>
              <w:rPr>
                <w:color w:val="000000"/>
                <w:sz w:val="20"/>
              </w:rPr>
              <w:t>9.</w:t>
            </w:r>
          </w:p>
        </w:tc>
        <w:tc>
          <w:tcPr>
            <w:tcW w:w="2050" w:type="pct"/>
            <w:shd w:val="clear" w:color="auto" w:fill="auto"/>
            <w:vAlign w:val="center"/>
          </w:tcPr>
          <w:p w:rsidR="00372048" w:rsidRPr="0070364F" w:rsidRDefault="00396DE6" w:rsidP="00214CA4">
            <w:pPr>
              <w:tabs>
                <w:tab w:val="left" w:pos="3119"/>
              </w:tabs>
              <w:spacing w:line="246" w:lineRule="auto"/>
              <w:jc w:val="center"/>
              <w:rPr>
                <w:color w:val="000000"/>
                <w:sz w:val="20"/>
              </w:rPr>
            </w:pPr>
            <w:r w:rsidRPr="00396DE6">
              <w:rPr>
                <w:color w:val="000000"/>
                <w:sz w:val="20"/>
              </w:rPr>
              <w:t>201203345</w:t>
            </w:r>
          </w:p>
        </w:tc>
        <w:tc>
          <w:tcPr>
            <w:tcW w:w="999" w:type="pct"/>
            <w:shd w:val="clear" w:color="auto" w:fill="auto"/>
            <w:vAlign w:val="center"/>
          </w:tcPr>
          <w:p w:rsidR="00372048" w:rsidRPr="0070364F" w:rsidRDefault="00396DE6" w:rsidP="00984E92">
            <w:pPr>
              <w:tabs>
                <w:tab w:val="left" w:pos="3119"/>
              </w:tabs>
              <w:spacing w:line="246" w:lineRule="auto"/>
              <w:jc w:val="center"/>
              <w:rPr>
                <w:color w:val="000000"/>
                <w:sz w:val="20"/>
              </w:rPr>
            </w:pPr>
            <w:r>
              <w:rPr>
                <w:color w:val="000000"/>
                <w:sz w:val="20"/>
              </w:rPr>
              <w:t xml:space="preserve"> 25</w:t>
            </w:r>
          </w:p>
        </w:tc>
        <w:tc>
          <w:tcPr>
            <w:tcW w:w="1452" w:type="pct"/>
            <w:gridSpan w:val="2"/>
            <w:shd w:val="clear" w:color="auto" w:fill="auto"/>
            <w:vAlign w:val="center"/>
          </w:tcPr>
          <w:p w:rsidR="00372048" w:rsidRPr="0070364F" w:rsidRDefault="00396DE6" w:rsidP="00214CA4">
            <w:pPr>
              <w:tabs>
                <w:tab w:val="left" w:pos="3119"/>
              </w:tabs>
              <w:spacing w:line="246" w:lineRule="auto"/>
              <w:jc w:val="center"/>
              <w:rPr>
                <w:color w:val="000000"/>
                <w:sz w:val="20"/>
              </w:rPr>
            </w:pPr>
            <w:r>
              <w:rPr>
                <w:color w:val="000000"/>
                <w:sz w:val="20"/>
              </w:rPr>
              <w:t>Ofício 30.898/2014 – CGU AM</w:t>
            </w:r>
          </w:p>
        </w:tc>
      </w:tr>
      <w:tr w:rsidR="00372048" w:rsidRPr="0070364F" w:rsidTr="00214CA4">
        <w:trPr>
          <w:trHeight w:val="356"/>
        </w:trPr>
        <w:tc>
          <w:tcPr>
            <w:tcW w:w="4069" w:type="pct"/>
            <w:gridSpan w:val="4"/>
            <w:shd w:val="clear" w:color="auto" w:fill="D9D9D9"/>
            <w:noWrap/>
            <w:vAlign w:val="center"/>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Órgão/</w:t>
            </w:r>
            <w:r>
              <w:rPr>
                <w:b/>
                <w:color w:val="000000"/>
                <w:sz w:val="20"/>
              </w:rPr>
              <w:t>E</w:t>
            </w:r>
            <w:r w:rsidRPr="0070364F">
              <w:rPr>
                <w:b/>
                <w:color w:val="000000"/>
                <w:sz w:val="20"/>
              </w:rPr>
              <w:t xml:space="preserve">ntidade </w:t>
            </w:r>
            <w:r>
              <w:rPr>
                <w:b/>
                <w:color w:val="000000"/>
                <w:sz w:val="20"/>
              </w:rPr>
              <w:t>O</w:t>
            </w:r>
            <w:r w:rsidRPr="0070364F">
              <w:rPr>
                <w:b/>
                <w:color w:val="000000"/>
                <w:sz w:val="20"/>
              </w:rPr>
              <w:t xml:space="preserve">bjeto da </w:t>
            </w:r>
            <w:r>
              <w:rPr>
                <w:b/>
                <w:color w:val="000000"/>
                <w:sz w:val="20"/>
              </w:rPr>
              <w:t>R</w:t>
            </w:r>
            <w:r w:rsidRPr="0070364F">
              <w:rPr>
                <w:b/>
                <w:color w:val="000000"/>
                <w:sz w:val="20"/>
              </w:rPr>
              <w:t>ecomendação</w:t>
            </w:r>
          </w:p>
        </w:tc>
        <w:tc>
          <w:tcPr>
            <w:tcW w:w="931"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402177" w:rsidRDefault="00402177" w:rsidP="00402177">
            <w:pPr>
              <w:tabs>
                <w:tab w:val="left" w:pos="3119"/>
              </w:tabs>
              <w:spacing w:line="246" w:lineRule="auto"/>
              <w:rPr>
                <w:color w:val="000000"/>
                <w:sz w:val="20"/>
              </w:rPr>
            </w:pPr>
            <w:r w:rsidRPr="00402177">
              <w:rPr>
                <w:color w:val="000000"/>
                <w:sz w:val="20"/>
              </w:rPr>
              <w:t>Reitoria</w:t>
            </w:r>
          </w:p>
        </w:tc>
        <w:tc>
          <w:tcPr>
            <w:tcW w:w="931" w:type="pct"/>
            <w:shd w:val="clear" w:color="auto" w:fill="FFFFFF"/>
            <w:vAlign w:val="center"/>
          </w:tcPr>
          <w:p w:rsidR="00372048" w:rsidRPr="00402177" w:rsidRDefault="00402177" w:rsidP="00214CA4">
            <w:pPr>
              <w:tabs>
                <w:tab w:val="left" w:pos="3119"/>
              </w:tabs>
              <w:spacing w:line="246" w:lineRule="auto"/>
              <w:jc w:val="center"/>
              <w:rPr>
                <w:color w:val="000000"/>
                <w:sz w:val="20"/>
              </w:rPr>
            </w:pPr>
            <w:r w:rsidRPr="00402177">
              <w:rPr>
                <w:color w:val="000000"/>
                <w:sz w:val="20"/>
              </w:rPr>
              <w:t>100910</w:t>
            </w: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Descrição da </w:t>
            </w:r>
            <w:r>
              <w:rPr>
                <w:b/>
                <w:color w:val="000000"/>
                <w:sz w:val="20"/>
              </w:rPr>
              <w:t>Recomendação</w:t>
            </w:r>
          </w:p>
        </w:tc>
      </w:tr>
      <w:tr w:rsidR="00372048" w:rsidRPr="0070364F" w:rsidTr="00214CA4">
        <w:trPr>
          <w:trHeight w:val="356"/>
        </w:trPr>
        <w:tc>
          <w:tcPr>
            <w:tcW w:w="5000" w:type="pct"/>
            <w:gridSpan w:val="5"/>
            <w:shd w:val="clear" w:color="auto" w:fill="auto"/>
            <w:noWrap/>
            <w:vAlign w:val="bottom"/>
            <w:hideMark/>
          </w:tcPr>
          <w:p w:rsidR="00372048" w:rsidRPr="0070364F" w:rsidRDefault="00396DE6" w:rsidP="00984E92">
            <w:pPr>
              <w:tabs>
                <w:tab w:val="left" w:pos="3119"/>
              </w:tabs>
              <w:spacing w:line="246" w:lineRule="auto"/>
              <w:jc w:val="both"/>
              <w:rPr>
                <w:color w:val="000000"/>
                <w:sz w:val="20"/>
              </w:rPr>
            </w:pPr>
            <w:r>
              <w:rPr>
                <w:color w:val="000000"/>
                <w:sz w:val="20"/>
              </w:rPr>
              <w:t xml:space="preserve">25: </w:t>
            </w:r>
            <w:r w:rsidRPr="00396DE6">
              <w:rPr>
                <w:color w:val="000000"/>
                <w:sz w:val="20"/>
              </w:rPr>
              <w:t>Providenciar, quando em decorrência de processos de dispensa de licitação/inexigibilidade:</w:t>
            </w:r>
            <w:r w:rsidRPr="00396DE6">
              <w:rPr>
                <w:color w:val="000000"/>
                <w:sz w:val="20"/>
              </w:rPr>
              <w:cr/>
              <w:t>a) o encaminhamento do processo à Procuradoria Jurídica para emissão do respectivo Parecer, nos termos do art. 38, VI, e parágrafo único, da Lei nº 8.666/93;</w:t>
            </w:r>
            <w:r w:rsidRPr="00396DE6">
              <w:rPr>
                <w:color w:val="000000"/>
                <w:sz w:val="20"/>
              </w:rPr>
              <w:cr/>
              <w:t>b) a formalização de termo de contrato sempre que as contratações envolvam obrigações futuras, em obediência ao disposto no art. 62, §4º, da Lei n.º 8.666/93;</w:t>
            </w:r>
            <w:r w:rsidRPr="00396DE6">
              <w:rPr>
                <w:color w:val="000000"/>
                <w:sz w:val="20"/>
              </w:rPr>
              <w:cr/>
              <w:t>c) a publicação tempestiva dos extratos de contrato, nos termos do art. 61, parágrafo único, da Lei nº 8.666/93.</w:t>
            </w:r>
          </w:p>
        </w:tc>
      </w:tr>
      <w:tr w:rsidR="00372048" w:rsidRPr="0070364F" w:rsidTr="00214CA4">
        <w:trPr>
          <w:trHeight w:val="356"/>
        </w:trPr>
        <w:tc>
          <w:tcPr>
            <w:tcW w:w="5000" w:type="pct"/>
            <w:gridSpan w:val="5"/>
            <w:shd w:val="clear" w:color="auto" w:fill="BFBFBF"/>
            <w:noWrap/>
            <w:vAlign w:val="bottom"/>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Providências Adotadas</w:t>
            </w:r>
          </w:p>
        </w:tc>
      </w:tr>
      <w:tr w:rsidR="00372048" w:rsidRPr="0070364F" w:rsidTr="00214CA4">
        <w:trPr>
          <w:trHeight w:val="356"/>
        </w:trPr>
        <w:tc>
          <w:tcPr>
            <w:tcW w:w="4069" w:type="pct"/>
            <w:gridSpan w:val="4"/>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Setor </w:t>
            </w:r>
            <w:r>
              <w:rPr>
                <w:b/>
                <w:color w:val="000000"/>
                <w:sz w:val="20"/>
              </w:rPr>
              <w:t>R</w:t>
            </w:r>
            <w:r w:rsidRPr="0070364F">
              <w:rPr>
                <w:b/>
                <w:color w:val="000000"/>
                <w:sz w:val="20"/>
              </w:rPr>
              <w:t xml:space="preserve">esponsável pela </w:t>
            </w:r>
            <w:proofErr w:type="gramStart"/>
            <w:r>
              <w:rPr>
                <w:b/>
                <w:color w:val="000000"/>
                <w:sz w:val="20"/>
              </w:rPr>
              <w:t>I</w:t>
            </w:r>
            <w:r w:rsidRPr="0070364F">
              <w:rPr>
                <w:b/>
                <w:color w:val="000000"/>
                <w:sz w:val="20"/>
              </w:rPr>
              <w:t>mplementação</w:t>
            </w:r>
            <w:proofErr w:type="gramEnd"/>
          </w:p>
        </w:tc>
        <w:tc>
          <w:tcPr>
            <w:tcW w:w="931" w:type="pct"/>
            <w:shd w:val="clear" w:color="auto" w:fill="D9D9D9"/>
            <w:vAlign w:val="bottom"/>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auto"/>
            <w:noWrap/>
            <w:vAlign w:val="bottom"/>
            <w:hideMark/>
          </w:tcPr>
          <w:p w:rsidR="00372048" w:rsidRPr="0070364F" w:rsidRDefault="00884E5F" w:rsidP="00214CA4">
            <w:pPr>
              <w:tabs>
                <w:tab w:val="left" w:pos="3119"/>
              </w:tabs>
              <w:spacing w:line="246" w:lineRule="auto"/>
              <w:jc w:val="both"/>
              <w:rPr>
                <w:color w:val="000000"/>
                <w:sz w:val="20"/>
              </w:rPr>
            </w:pPr>
            <w:r>
              <w:rPr>
                <w:color w:val="000000"/>
                <w:sz w:val="20"/>
              </w:rPr>
              <w:t>PROAD-DAF</w:t>
            </w:r>
          </w:p>
        </w:tc>
        <w:tc>
          <w:tcPr>
            <w:tcW w:w="931" w:type="pct"/>
            <w:shd w:val="clear" w:color="auto" w:fill="auto"/>
            <w:vAlign w:val="bottom"/>
          </w:tcPr>
          <w:p w:rsidR="00372048" w:rsidRPr="0070364F" w:rsidRDefault="00372048" w:rsidP="00214CA4">
            <w:pPr>
              <w:tabs>
                <w:tab w:val="left" w:pos="3119"/>
              </w:tabs>
              <w:spacing w:line="246" w:lineRule="auto"/>
              <w:jc w:val="both"/>
              <w:rPr>
                <w:color w:val="000000"/>
                <w:sz w:val="20"/>
              </w:rPr>
            </w:pP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color w:val="000000"/>
                <w:sz w:val="20"/>
              </w:rPr>
            </w:pPr>
            <w:r w:rsidRPr="0070364F">
              <w:rPr>
                <w:b/>
                <w:color w:val="000000"/>
                <w:sz w:val="20"/>
              </w:rPr>
              <w:t xml:space="preserve">Síntese da </w:t>
            </w:r>
            <w:r>
              <w:rPr>
                <w:b/>
                <w:color w:val="000000"/>
                <w:sz w:val="20"/>
              </w:rPr>
              <w:t>P</w:t>
            </w:r>
            <w:r w:rsidRPr="0070364F">
              <w:rPr>
                <w:b/>
                <w:color w:val="000000"/>
                <w:sz w:val="20"/>
              </w:rPr>
              <w:t xml:space="preserve">rovidência </w:t>
            </w:r>
            <w:r>
              <w:rPr>
                <w:b/>
                <w:color w:val="000000"/>
                <w:sz w:val="20"/>
              </w:rPr>
              <w:t>A</w:t>
            </w:r>
            <w:r w:rsidRPr="0070364F">
              <w:rPr>
                <w:b/>
                <w:color w:val="000000"/>
                <w:sz w:val="20"/>
              </w:rPr>
              <w:t>dotada</w:t>
            </w:r>
          </w:p>
        </w:tc>
      </w:tr>
      <w:tr w:rsidR="00372048" w:rsidRPr="0070364F" w:rsidTr="00214CA4">
        <w:trPr>
          <w:trHeight w:val="356"/>
        </w:trPr>
        <w:tc>
          <w:tcPr>
            <w:tcW w:w="5000" w:type="pct"/>
            <w:gridSpan w:val="5"/>
            <w:shd w:val="clear" w:color="auto" w:fill="auto"/>
            <w:noWrap/>
            <w:vAlign w:val="bottom"/>
            <w:hideMark/>
          </w:tcPr>
          <w:p w:rsidR="00372048" w:rsidRPr="0070364F" w:rsidRDefault="00893146" w:rsidP="00E7330F">
            <w:pPr>
              <w:tabs>
                <w:tab w:val="left" w:pos="3119"/>
              </w:tabs>
              <w:spacing w:line="246" w:lineRule="auto"/>
              <w:jc w:val="both"/>
              <w:rPr>
                <w:color w:val="000000"/>
                <w:sz w:val="20"/>
              </w:rPr>
            </w:pPr>
            <w:r w:rsidRPr="00E7330F">
              <w:rPr>
                <w:color w:val="000000"/>
                <w:sz w:val="20"/>
                <w:szCs w:val="20"/>
              </w:rPr>
              <w:t>25:</w:t>
            </w:r>
            <w:r w:rsidR="00E7330F" w:rsidRPr="00E7330F">
              <w:rPr>
                <w:sz w:val="20"/>
                <w:szCs w:val="20"/>
              </w:rPr>
              <w:t xml:space="preserve">Quanto ao item b, a recomendação já vem sendo atendida enfaticamente neste Instituto, e todas as contratações que envolvam obrigações futuras tem sido formalizadas através de contrato. A Coordenação de Contratos e Convênios tem participado de diversos treinamentos, para proceder sempre de acordo com os ditames da lei e, assim, tem difundido o conhecimento aos campi. Quanto ao item c, informamos que todos os contratos têm sido tempestivamente publicados, até quinto dia útil, nos termo do art. 61, parágrafo único, da Lei nº 8.666/93.  Em relação ao Manual que trata sobre as Orientações para Aquisições de Bens e Serviços, informamos que está em fase de elaboração pela Coordenação de Compras, em que, de acordo com o PDA 2015, </w:t>
            </w:r>
            <w:proofErr w:type="gramStart"/>
            <w:r w:rsidR="00E7330F" w:rsidRPr="00E7330F">
              <w:rPr>
                <w:sz w:val="20"/>
                <w:szCs w:val="20"/>
              </w:rPr>
              <w:t>será</w:t>
            </w:r>
            <w:proofErr w:type="gramEnd"/>
            <w:r w:rsidR="00E7330F" w:rsidRPr="00E7330F">
              <w:rPr>
                <w:sz w:val="20"/>
                <w:szCs w:val="20"/>
              </w:rPr>
              <w:t xml:space="preserve"> concluído em janeiro e realizada Oficinas para difusão de conhecimento a todos os campi em fevereiro/15. Para tanto, solicitamos prorrogação de prazo de 03 meses para conclusão de tal atividade e disponibilização do Manual no sítio oficial do Instituto de Educação, Ciência e Tecnologia do Amazonas (</w:t>
            </w:r>
            <w:hyperlink r:id="rId5" w:history="1">
              <w:r w:rsidR="00E7330F" w:rsidRPr="00E7330F">
                <w:rPr>
                  <w:rStyle w:val="Hyperlink"/>
                  <w:sz w:val="20"/>
                  <w:szCs w:val="20"/>
                </w:rPr>
                <w:t>http://www.ifam.edu.br/portal/proad/documentos-de-orientacao</w:t>
              </w:r>
            </w:hyperlink>
            <w:r w:rsidR="00E7330F" w:rsidRPr="00E7330F">
              <w:rPr>
                <w:sz w:val="20"/>
                <w:szCs w:val="20"/>
              </w:rPr>
              <w:t>). Visto que, não foi possível cumprir o prazo solicitado no Memorando nº 018 – DAF/PROAD/IFAM/2014, devido a mudança de servidores na gestão e na Coordenação de Compras.</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Síntese dos </w:t>
            </w:r>
            <w:r>
              <w:rPr>
                <w:b/>
                <w:color w:val="000000"/>
                <w:sz w:val="20"/>
              </w:rPr>
              <w:t>R</w:t>
            </w:r>
            <w:r w:rsidRPr="0070364F">
              <w:rPr>
                <w:b/>
                <w:color w:val="000000"/>
                <w:sz w:val="20"/>
              </w:rPr>
              <w:t xml:space="preserve">esultados </w:t>
            </w:r>
            <w:r>
              <w:rPr>
                <w:b/>
                <w:color w:val="000000"/>
                <w:sz w:val="20"/>
              </w:rPr>
              <w:t>O</w:t>
            </w:r>
            <w:r w:rsidRPr="0070364F">
              <w:rPr>
                <w:b/>
                <w:color w:val="000000"/>
                <w:sz w:val="20"/>
              </w:rPr>
              <w:t>btidos</w:t>
            </w:r>
          </w:p>
        </w:tc>
      </w:tr>
      <w:tr w:rsidR="00372048" w:rsidRPr="0070364F" w:rsidTr="00214CA4">
        <w:trPr>
          <w:trHeight w:val="356"/>
        </w:trPr>
        <w:tc>
          <w:tcPr>
            <w:tcW w:w="5000" w:type="pct"/>
            <w:gridSpan w:val="5"/>
            <w:shd w:val="clear" w:color="auto" w:fill="auto"/>
            <w:noWrap/>
            <w:vAlign w:val="bottom"/>
            <w:hideMark/>
          </w:tcPr>
          <w:p w:rsidR="00372048" w:rsidRPr="0070364F" w:rsidRDefault="00402177" w:rsidP="00214CA4">
            <w:pPr>
              <w:tabs>
                <w:tab w:val="left" w:pos="3119"/>
              </w:tabs>
              <w:spacing w:line="246" w:lineRule="auto"/>
              <w:jc w:val="both"/>
              <w:rPr>
                <w:color w:val="000000"/>
                <w:sz w:val="20"/>
              </w:rPr>
            </w:pPr>
            <w:r>
              <w:rPr>
                <w:color w:val="000000"/>
                <w:sz w:val="20"/>
              </w:rPr>
              <w:t>Aguardando retorno da CGU.</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Análise </w:t>
            </w:r>
            <w:r>
              <w:rPr>
                <w:b/>
                <w:color w:val="000000"/>
                <w:sz w:val="20"/>
              </w:rPr>
              <w:t>C</w:t>
            </w:r>
            <w:r w:rsidRPr="0070364F">
              <w:rPr>
                <w:b/>
                <w:color w:val="000000"/>
                <w:sz w:val="20"/>
              </w:rPr>
              <w:t xml:space="preserve">rítica dos </w:t>
            </w:r>
            <w:r>
              <w:rPr>
                <w:b/>
                <w:color w:val="000000"/>
                <w:sz w:val="20"/>
              </w:rPr>
              <w:t>F</w:t>
            </w:r>
            <w:r w:rsidRPr="0070364F">
              <w:rPr>
                <w:b/>
                <w:color w:val="000000"/>
                <w:sz w:val="20"/>
              </w:rPr>
              <w:t xml:space="preserve">atores </w:t>
            </w:r>
            <w:r>
              <w:rPr>
                <w:b/>
                <w:color w:val="000000"/>
                <w:sz w:val="20"/>
              </w:rPr>
              <w:t>P</w:t>
            </w:r>
            <w:r w:rsidRPr="0070364F">
              <w:rPr>
                <w:b/>
                <w:color w:val="000000"/>
                <w:sz w:val="20"/>
              </w:rPr>
              <w:t>ositivos/</w:t>
            </w:r>
            <w:r>
              <w:rPr>
                <w:b/>
                <w:color w:val="000000"/>
                <w:sz w:val="20"/>
              </w:rPr>
              <w:t>N</w:t>
            </w:r>
            <w:r w:rsidRPr="0070364F">
              <w:rPr>
                <w:b/>
                <w:color w:val="000000"/>
                <w:sz w:val="20"/>
              </w:rPr>
              <w:t xml:space="preserve">egativos que </w:t>
            </w:r>
            <w:r>
              <w:rPr>
                <w:b/>
                <w:color w:val="000000"/>
                <w:sz w:val="20"/>
              </w:rPr>
              <w:t>Facilitaram/</w:t>
            </w:r>
            <w:proofErr w:type="gramStart"/>
            <w:r>
              <w:rPr>
                <w:b/>
                <w:color w:val="000000"/>
                <w:sz w:val="20"/>
              </w:rPr>
              <w:t>P</w:t>
            </w:r>
            <w:r w:rsidRPr="0070364F">
              <w:rPr>
                <w:b/>
                <w:color w:val="000000"/>
                <w:sz w:val="20"/>
              </w:rPr>
              <w:t>rejudicaram</w:t>
            </w:r>
            <w:proofErr w:type="gramEnd"/>
            <w:r w:rsidRPr="0070364F">
              <w:rPr>
                <w:b/>
                <w:color w:val="000000"/>
                <w:sz w:val="20"/>
              </w:rPr>
              <w:t xml:space="preserve"> a </w:t>
            </w:r>
            <w:r>
              <w:rPr>
                <w:b/>
                <w:color w:val="000000"/>
                <w:sz w:val="20"/>
              </w:rPr>
              <w:t>A</w:t>
            </w:r>
            <w:r w:rsidRPr="0070364F">
              <w:rPr>
                <w:b/>
                <w:color w:val="000000"/>
                <w:sz w:val="20"/>
              </w:rPr>
              <w:t xml:space="preserve">doção de </w:t>
            </w:r>
            <w:r>
              <w:rPr>
                <w:b/>
                <w:color w:val="000000"/>
                <w:sz w:val="20"/>
              </w:rPr>
              <w:t>P</w:t>
            </w:r>
            <w:r w:rsidRPr="0070364F">
              <w:rPr>
                <w:b/>
                <w:color w:val="000000"/>
                <w:sz w:val="20"/>
              </w:rPr>
              <w:t xml:space="preserve">rovidências pelo </w:t>
            </w:r>
            <w:r>
              <w:rPr>
                <w:b/>
                <w:color w:val="000000"/>
                <w:sz w:val="20"/>
              </w:rPr>
              <w:t>G</w:t>
            </w:r>
            <w:r w:rsidRPr="0070364F">
              <w:rPr>
                <w:b/>
                <w:color w:val="000000"/>
                <w:sz w:val="20"/>
              </w:rPr>
              <w:t>estor</w:t>
            </w:r>
          </w:p>
        </w:tc>
      </w:tr>
      <w:tr w:rsidR="00372048" w:rsidRPr="0070364F" w:rsidTr="00214CA4">
        <w:trPr>
          <w:trHeight w:val="356"/>
        </w:trPr>
        <w:tc>
          <w:tcPr>
            <w:tcW w:w="5000" w:type="pct"/>
            <w:gridSpan w:val="5"/>
            <w:shd w:val="clear" w:color="auto" w:fill="FFFFFF"/>
            <w:noWrap/>
            <w:vAlign w:val="bottom"/>
          </w:tcPr>
          <w:p w:rsidR="00372048" w:rsidRPr="0070364F" w:rsidRDefault="003C2394" w:rsidP="00C735A0">
            <w:pPr>
              <w:tabs>
                <w:tab w:val="left" w:pos="3119"/>
              </w:tabs>
              <w:spacing w:line="246" w:lineRule="auto"/>
              <w:jc w:val="both"/>
              <w:rPr>
                <w:color w:val="000000"/>
                <w:sz w:val="20"/>
              </w:rPr>
            </w:pPr>
            <w:r>
              <w:rPr>
                <w:color w:val="000000"/>
                <w:sz w:val="20"/>
              </w:rPr>
              <w:t>Os processos inicialmente não passavam</w:t>
            </w:r>
            <w:r w:rsidR="00004772">
              <w:rPr>
                <w:color w:val="000000"/>
                <w:sz w:val="20"/>
              </w:rPr>
              <w:t xml:space="preserve"> </w:t>
            </w:r>
            <w:r>
              <w:rPr>
                <w:color w:val="000000"/>
                <w:sz w:val="20"/>
              </w:rPr>
              <w:t>pela Procuradoria Federal por falta de conhecimento e inciativa da Coordenação de Compras da Reitoria. Contudo, com o ingresso de novos servidores, a difusão do conhecimento e a participação em cursos de capacitação, todos os processos de aquisiç</w:t>
            </w:r>
            <w:r w:rsidR="00C735A0">
              <w:rPr>
                <w:color w:val="000000"/>
                <w:sz w:val="20"/>
              </w:rPr>
              <w:t>ões</w:t>
            </w:r>
            <w:r>
              <w:rPr>
                <w:color w:val="000000"/>
                <w:sz w:val="20"/>
              </w:rPr>
              <w:t xml:space="preserve"> e contratações são analisados pela Procuradoria Federal que, embora, sejam opinativos, fornecem importante orientação dos procedimentos a serem tomados. Tem-se </w:t>
            </w:r>
            <w:r w:rsidR="004871A3">
              <w:rPr>
                <w:color w:val="000000"/>
                <w:sz w:val="20"/>
              </w:rPr>
              <w:t xml:space="preserve">dado grande ênfase às compras compartilhadas, para isso a Diretoria de Planejamento </w:t>
            </w:r>
            <w:r w:rsidR="00DB4423">
              <w:rPr>
                <w:color w:val="000000"/>
                <w:sz w:val="20"/>
              </w:rPr>
              <w:t xml:space="preserve">e a Coordenação de Compras </w:t>
            </w:r>
            <w:r w:rsidR="004871A3">
              <w:rPr>
                <w:color w:val="000000"/>
                <w:sz w:val="20"/>
              </w:rPr>
              <w:t xml:space="preserve">tem trabalhado intensamente para envolver todos os campi com a Reitoria para </w:t>
            </w:r>
            <w:r w:rsidR="00DB4423">
              <w:rPr>
                <w:color w:val="000000"/>
                <w:sz w:val="20"/>
              </w:rPr>
              <w:t xml:space="preserve">realizar as </w:t>
            </w:r>
            <w:r w:rsidR="004871A3">
              <w:rPr>
                <w:color w:val="000000"/>
                <w:sz w:val="20"/>
              </w:rPr>
              <w:t>aquisições</w:t>
            </w:r>
            <w:r w:rsidR="00DB4423">
              <w:rPr>
                <w:color w:val="000000"/>
                <w:sz w:val="20"/>
              </w:rPr>
              <w:t xml:space="preserve"> de produtos</w:t>
            </w:r>
            <w:r w:rsidR="004871A3">
              <w:rPr>
                <w:color w:val="000000"/>
                <w:sz w:val="20"/>
              </w:rPr>
              <w:t xml:space="preserve"> comuns a todos</w:t>
            </w:r>
            <w:r w:rsidR="00FC154B">
              <w:rPr>
                <w:color w:val="000000"/>
                <w:sz w:val="20"/>
              </w:rPr>
              <w:t xml:space="preserve"> em um único processo licitatório</w:t>
            </w:r>
            <w:r w:rsidR="004871A3">
              <w:rPr>
                <w:color w:val="000000"/>
                <w:sz w:val="20"/>
              </w:rPr>
              <w:t xml:space="preserve">. O Manual </w:t>
            </w:r>
            <w:r w:rsidR="00FC154B">
              <w:rPr>
                <w:color w:val="000000"/>
                <w:sz w:val="20"/>
              </w:rPr>
              <w:t xml:space="preserve">deste modelo de compras já </w:t>
            </w:r>
            <w:r w:rsidR="004871A3">
              <w:rPr>
                <w:color w:val="000000"/>
                <w:sz w:val="20"/>
              </w:rPr>
              <w:t>está em fase de elaboração, no qual será difundido</w:t>
            </w:r>
            <w:r w:rsidR="00FC154B">
              <w:rPr>
                <w:color w:val="000000"/>
                <w:sz w:val="20"/>
              </w:rPr>
              <w:t xml:space="preserve"> através de Oficinas, nos campi. Anteriormente, a Coordenação de </w:t>
            </w:r>
            <w:r w:rsidR="00FC154B">
              <w:rPr>
                <w:color w:val="000000"/>
                <w:sz w:val="20"/>
              </w:rPr>
              <w:lastRenderedPageBreak/>
              <w:t xml:space="preserve">Contratos não realizava as publicações tempestivamente. Contudo, hoje esta Coordenação está capacitada e interessada em cumprir a todas as obrigações legais. Assim, hoje, todas as contratações que envolvam obrigações futuras </w:t>
            </w:r>
            <w:r w:rsidR="00C735A0">
              <w:rPr>
                <w:color w:val="000000"/>
                <w:sz w:val="20"/>
              </w:rPr>
              <w:t>têm sido</w:t>
            </w:r>
            <w:r w:rsidR="00FC154B">
              <w:rPr>
                <w:color w:val="000000"/>
                <w:sz w:val="20"/>
              </w:rPr>
              <w:t xml:space="preserve"> formalizadas através de contrato.</w:t>
            </w:r>
          </w:p>
        </w:tc>
      </w:tr>
    </w:tbl>
    <w:p w:rsidR="00372048" w:rsidRDefault="00372048" w:rsidP="00372048">
      <w:pPr>
        <w:pStyle w:val="Epgrafe"/>
      </w:pPr>
    </w:p>
    <w:p w:rsidR="00A85134" w:rsidRDefault="00A85134"/>
    <w:sectPr w:rsidR="00A85134" w:rsidSect="005D55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F6"/>
    <w:rsid w:val="00004772"/>
    <w:rsid w:val="00282C9E"/>
    <w:rsid w:val="00372048"/>
    <w:rsid w:val="00396DE6"/>
    <w:rsid w:val="003C2394"/>
    <w:rsid w:val="00402177"/>
    <w:rsid w:val="004871A3"/>
    <w:rsid w:val="005D559D"/>
    <w:rsid w:val="006B3BF6"/>
    <w:rsid w:val="00884E5F"/>
    <w:rsid w:val="00893146"/>
    <w:rsid w:val="00984E92"/>
    <w:rsid w:val="00A85134"/>
    <w:rsid w:val="00C735A0"/>
    <w:rsid w:val="00DB4423"/>
    <w:rsid w:val="00E7330F"/>
    <w:rsid w:val="00FA28F7"/>
    <w:rsid w:val="00FC15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 w:type="character" w:styleId="Hyperlink">
    <w:name w:val="Hyperlink"/>
    <w:semiHidden/>
    <w:rsid w:val="00E733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 w:type="character" w:styleId="Hyperlink">
    <w:name w:val="Hyperlink"/>
    <w:semiHidden/>
    <w:rsid w:val="00E73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fam.edu.br/portal/proad/documentos-de-orientaca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2</cp:revision>
  <dcterms:created xsi:type="dcterms:W3CDTF">2015-03-12T19:39:00Z</dcterms:created>
  <dcterms:modified xsi:type="dcterms:W3CDTF">2015-03-12T19:39:00Z</dcterms:modified>
</cp:coreProperties>
</file>