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F0365A" w:rsidRDefault="00372048" w:rsidP="00372048">
      <w:pPr>
        <w:pStyle w:val="Epgrafe"/>
        <w:rPr>
          <w:szCs w:val="20"/>
        </w:rPr>
      </w:pPr>
      <w:bookmarkStart w:id="0" w:name="_Toc386651616"/>
      <w:r w:rsidRPr="00F0365A">
        <w:rPr>
          <w:szCs w:val="20"/>
        </w:rPr>
        <w:t>Quadro A.11.2.1 – Relatório de cumprimento das 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3618"/>
        <w:gridCol w:w="1704"/>
        <w:gridCol w:w="889"/>
        <w:gridCol w:w="1588"/>
      </w:tblGrid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F0365A">
              <w:rPr>
                <w:b/>
                <w:caps/>
                <w:color w:val="000000"/>
                <w:sz w:val="20"/>
                <w:szCs w:val="20"/>
              </w:rPr>
              <w:t>U</w:t>
            </w:r>
            <w:r w:rsidRPr="00F0365A">
              <w:rPr>
                <w:b/>
                <w:color w:val="000000"/>
                <w:sz w:val="20"/>
                <w:szCs w:val="20"/>
              </w:rPr>
              <w:t>nidade Jurisdicionada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Denominação Completa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Instituto Federal de Educação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100910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Recomendações do OCI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Recomendações Expedidas pelo OCI</w:t>
            </w:r>
          </w:p>
        </w:tc>
      </w:tr>
      <w:tr w:rsidR="00372048" w:rsidRPr="00F0365A" w:rsidTr="00214CA4">
        <w:trPr>
          <w:trHeight w:val="356"/>
        </w:trPr>
        <w:tc>
          <w:tcPr>
            <w:tcW w:w="428" w:type="pct"/>
            <w:shd w:val="clear" w:color="auto" w:fill="D9D9D9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2121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Identificação do</w:t>
            </w:r>
            <w:bookmarkStart w:id="1" w:name="_GoBack"/>
            <w:r w:rsidRPr="00F0365A">
              <w:rPr>
                <w:b/>
                <w:color w:val="000000"/>
                <w:sz w:val="20"/>
                <w:szCs w:val="20"/>
              </w:rPr>
              <w:t xml:space="preserve"> Relatório </w:t>
            </w:r>
            <w:bookmarkEnd w:id="1"/>
            <w:r w:rsidRPr="00F0365A">
              <w:rPr>
                <w:b/>
                <w:color w:val="000000"/>
                <w:sz w:val="20"/>
                <w:szCs w:val="20"/>
              </w:rPr>
              <w:t>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Item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Comunicação Expedida</w:t>
            </w:r>
          </w:p>
        </w:tc>
      </w:tr>
      <w:tr w:rsidR="00372048" w:rsidRPr="00F0365A" w:rsidTr="00214CA4">
        <w:trPr>
          <w:trHeight w:val="356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372048" w:rsidRPr="00F0365A" w:rsidRDefault="00DA3009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72048" w:rsidRPr="00F0365A" w:rsidRDefault="00DA3009" w:rsidP="00DA3009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szCs w:val="20"/>
              </w:rPr>
            </w:pPr>
            <w:r w:rsidRPr="00DA3009">
              <w:rPr>
                <w:color w:val="000000"/>
                <w:sz w:val="20"/>
                <w:szCs w:val="20"/>
              </w:rPr>
              <w:t>201407276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F0365A" w:rsidRDefault="00A62877" w:rsidP="00BA7735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Ofício 30898/2014 – CGU AM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Órgão/Entidade Objeto da Recomendação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1B344E" w:rsidRDefault="001B344E" w:rsidP="001B344E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szCs w:val="20"/>
              </w:rPr>
            </w:pPr>
            <w:r w:rsidRPr="001B344E">
              <w:rPr>
                <w:color w:val="000000"/>
                <w:sz w:val="20"/>
                <w:szCs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Descrição da Recomendação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A62877" w:rsidRDefault="00A62877" w:rsidP="00F0365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A62877">
              <w:rPr>
                <w:color w:val="000000"/>
                <w:sz w:val="20"/>
                <w:szCs w:val="20"/>
              </w:rPr>
              <w:t>Apresentar proposta de aproveitamento da carga horária docente para o exercício das atividades acadêmicas do Instituto, de forma a cumprir a meta estabelecida no Termo TAM.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Providências Adotadas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Setor Responsável pela Implementação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F0365A" w:rsidRDefault="00A628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PROEN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Síntese da Providência Adotada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A62877" w:rsidRDefault="00A62877" w:rsidP="00A62877">
            <w:pPr>
              <w:pStyle w:val="PargrafodaLista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Memo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n.º 494 – PROEN/IFAM/2014</w:t>
            </w:r>
          </w:p>
          <w:p w:rsidR="00A62877" w:rsidRDefault="00A62877" w:rsidP="00A62877">
            <w:pPr>
              <w:pStyle w:val="PargrafodaLista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62877" w:rsidRDefault="00A62877" w:rsidP="00A62877">
            <w:pPr>
              <w:pStyle w:val="PargrafodaLista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 acordo com os Editais n.º 07/2014, 08/2014, 16/2014, 15/2014, 16/2014, 17/2017, 18/2014, 18/2014, 20/2014, 21/2014, 22/2014 e 23/2014, houve um incremento total no número de vagas e, respectivamente de novos cursos de 4.079 matrículas.</w:t>
            </w:r>
          </w:p>
          <w:p w:rsidR="00372048" w:rsidRPr="00F0365A" w:rsidRDefault="00A62877" w:rsidP="00A6287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Ressaltamos que não estão sendo contabilizadas no quadro acima as entradas de vagas, curso e matrículas da modalidade a distância (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EaD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) e de programas especiais, tais como o PRONATEC.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Síntese dos Resultados Obtidos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F0365A" w:rsidRDefault="00664C6B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Aguardando o retorno da Controladoria Geral da União.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Análise Crítica dos Fatores Positivos/Negativos que Facilitaram/Prejudicaram a Adoção de Providências pelo Gestor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D81991" w:rsidRDefault="0064355D" w:rsidP="00D8199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 aspectos positivos listamos que o Instituto Federal de Educação Ciência e Tecnologia do Amazonas possui</w:t>
            </w:r>
            <w:r w:rsidR="00D81991">
              <w:rPr>
                <w:color w:val="000000"/>
                <w:sz w:val="20"/>
                <w:szCs w:val="20"/>
              </w:rPr>
              <w:t xml:space="preserve"> normativo que regulamenta a atividade do docente.</w:t>
            </w:r>
          </w:p>
          <w:p w:rsidR="00372048" w:rsidRDefault="00D81991" w:rsidP="00D8199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Esse Normativo é a Resolução n° 29- CONSULP/IFAM, de 04/11/2011 que regulamenta a Lei </w:t>
            </w:r>
            <w:r w:rsidR="004A7A6B">
              <w:rPr>
                <w:color w:val="000000"/>
                <w:sz w:val="20"/>
                <w:szCs w:val="20"/>
              </w:rPr>
              <w:t>Federal n</w:t>
            </w:r>
            <w:r>
              <w:rPr>
                <w:color w:val="000000"/>
                <w:sz w:val="20"/>
                <w:szCs w:val="20"/>
              </w:rPr>
              <w:t xml:space="preserve">° 11.784, de 22/09/2008, o Decreto Federal n° 94.664, de 23/07/1987, a Portaria do </w:t>
            </w:r>
            <w:proofErr w:type="spellStart"/>
            <w:r>
              <w:rPr>
                <w:color w:val="000000"/>
                <w:sz w:val="20"/>
                <w:szCs w:val="20"/>
              </w:rPr>
              <w:t>Ministerio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 Educação n° 475, de 26/08/1987.</w:t>
            </w:r>
          </w:p>
          <w:p w:rsidR="00D81991" w:rsidRDefault="004D559E" w:rsidP="0069399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Em relação aos aspectos negativos, temos a informar que devido a Rede Federal está vivenciando a maior expansão de sua história, e isso abrange o </w:t>
            </w:r>
            <w:proofErr w:type="spellStart"/>
            <w:r>
              <w:rPr>
                <w:color w:val="000000"/>
                <w:sz w:val="20"/>
                <w:szCs w:val="20"/>
              </w:rPr>
              <w:t>Ifam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nos primeiros anos o </w:t>
            </w:r>
            <w:proofErr w:type="spellStart"/>
            <w:r>
              <w:rPr>
                <w:color w:val="000000"/>
                <w:sz w:val="20"/>
                <w:szCs w:val="20"/>
              </w:rPr>
              <w:t>Indice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Aferiação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 Força de Trabalho Docente – AFT em 2014/2 e 2015/1 pode está aquém do valor definido no Acórdão n° 2.267/2005 – TCU, porque em algumas Unidades Acadêmicas (Campi do </w:t>
            </w:r>
            <w:proofErr w:type="spellStart"/>
            <w:r>
              <w:rPr>
                <w:color w:val="000000"/>
                <w:sz w:val="20"/>
                <w:szCs w:val="20"/>
              </w:rPr>
              <w:t>Ifam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os cursos ainda estão em fase de implantação, por  isso neste momento há um número maior de docentes em relação ao número de discentes. </w:t>
            </w:r>
          </w:p>
          <w:p w:rsidR="004D559E" w:rsidRDefault="004D559E" w:rsidP="0069399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Nossa estimativa é que a parti de 2015/2 e 2016/1, </w:t>
            </w:r>
            <w:r w:rsidR="004A7A6B">
              <w:rPr>
                <w:color w:val="000000"/>
                <w:sz w:val="20"/>
                <w:szCs w:val="20"/>
              </w:rPr>
              <w:t>esses índices</w:t>
            </w:r>
            <w:r>
              <w:rPr>
                <w:color w:val="000000"/>
                <w:sz w:val="20"/>
                <w:szCs w:val="20"/>
              </w:rPr>
              <w:t xml:space="preserve"> estejam em equilíbrio de acordo com a indicação do</w:t>
            </w:r>
            <w:r w:rsidR="004A7A6B">
              <w:rPr>
                <w:color w:val="000000"/>
                <w:sz w:val="20"/>
                <w:szCs w:val="20"/>
              </w:rPr>
              <w:t xml:space="preserve"> supramencionado</w:t>
            </w:r>
            <w:r>
              <w:rPr>
                <w:color w:val="000000"/>
                <w:sz w:val="20"/>
                <w:szCs w:val="20"/>
              </w:rPr>
              <w:t xml:space="preserve"> Acórdão</w:t>
            </w:r>
            <w:r w:rsidR="004A7A6B">
              <w:rPr>
                <w:color w:val="000000"/>
                <w:sz w:val="20"/>
                <w:szCs w:val="20"/>
              </w:rPr>
              <w:t>2.267/2005 – TCU.</w:t>
            </w:r>
          </w:p>
          <w:p w:rsidR="004D559E" w:rsidRPr="00F0365A" w:rsidRDefault="004D559E" w:rsidP="0069399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Outro fato, que é importante na mensuração do AFT é que nesta aferição não estão computados as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atividades que os docentes destinam às atividades de pesquisa e extensão que também </w:t>
            </w:r>
            <w:proofErr w:type="gramStart"/>
            <w:r>
              <w:rPr>
                <w:color w:val="000000"/>
                <w:sz w:val="20"/>
                <w:szCs w:val="20"/>
              </w:rPr>
              <w:t>envolvem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os estudantes matriculados nos Campi do </w:t>
            </w:r>
            <w:proofErr w:type="spellStart"/>
            <w:r>
              <w:rPr>
                <w:color w:val="000000"/>
                <w:sz w:val="20"/>
                <w:szCs w:val="20"/>
              </w:rPr>
              <w:t>Ifam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372048" w:rsidRPr="00F0365A" w:rsidRDefault="00372048" w:rsidP="00372048">
      <w:pPr>
        <w:pStyle w:val="Epgrafe"/>
        <w:rPr>
          <w:szCs w:val="20"/>
        </w:rPr>
      </w:pPr>
    </w:p>
    <w:p w:rsidR="00A85134" w:rsidRPr="00F0365A" w:rsidRDefault="00A85134">
      <w:pPr>
        <w:rPr>
          <w:sz w:val="20"/>
          <w:szCs w:val="20"/>
        </w:rPr>
      </w:pPr>
    </w:p>
    <w:sectPr w:rsidR="00A85134" w:rsidRPr="00F0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66DAC"/>
    <w:rsid w:val="001B344E"/>
    <w:rsid w:val="002B5746"/>
    <w:rsid w:val="00372048"/>
    <w:rsid w:val="004135DF"/>
    <w:rsid w:val="004A7A6B"/>
    <w:rsid w:val="004D559E"/>
    <w:rsid w:val="004F6C20"/>
    <w:rsid w:val="0052621E"/>
    <w:rsid w:val="005300A4"/>
    <w:rsid w:val="0064355D"/>
    <w:rsid w:val="00664C6B"/>
    <w:rsid w:val="0069399F"/>
    <w:rsid w:val="0069530C"/>
    <w:rsid w:val="006B3BF6"/>
    <w:rsid w:val="007871FD"/>
    <w:rsid w:val="008A0E32"/>
    <w:rsid w:val="00995D57"/>
    <w:rsid w:val="00A03861"/>
    <w:rsid w:val="00A52FDC"/>
    <w:rsid w:val="00A62877"/>
    <w:rsid w:val="00A85134"/>
    <w:rsid w:val="00B335D9"/>
    <w:rsid w:val="00BA7735"/>
    <w:rsid w:val="00D81991"/>
    <w:rsid w:val="00DA3009"/>
    <w:rsid w:val="00DA4C1C"/>
    <w:rsid w:val="00F0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A62877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A62877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2015-03-19T15:30:00Z</dcterms:created>
  <dcterms:modified xsi:type="dcterms:W3CDTF">2015-03-19T15:30:00Z</dcterms:modified>
</cp:coreProperties>
</file>