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bookmarkStart w:id="1" w:name="_GoBack"/>
      <w:bookmarkEnd w:id="1"/>
      <w:r w:rsidRPr="0070364F">
        <w:t>Quadro A.</w:t>
      </w:r>
      <w:r>
        <w:t xml:space="preserve">11.2.1–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E06DED" w:rsidP="001B6E3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1C0F5A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244003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A8480D" w:rsidP="00A8480D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A8480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53: </w:t>
            </w:r>
            <w:r w:rsidRPr="00A8480D">
              <w:rPr>
                <w:color w:val="000000"/>
                <w:sz w:val="20"/>
              </w:rPr>
              <w:t>Realizar o levantamento dos valores pagos indevidamente, tendo em vista que o fornecedor já recebeu todo o mo</w:t>
            </w:r>
            <w:r w:rsidR="00E06DED">
              <w:rPr>
                <w:color w:val="000000"/>
                <w:sz w:val="20"/>
              </w:rPr>
              <w:t xml:space="preserve">ntante (incluindo os custos de </w:t>
            </w:r>
            <w:r w:rsidRPr="00A8480D">
              <w:rPr>
                <w:color w:val="000000"/>
                <w:sz w:val="20"/>
              </w:rPr>
              <w:t>CPMF</w:t>
            </w:r>
            <w:proofErr w:type="gramStart"/>
            <w:r w:rsidRPr="00A8480D">
              <w:rPr>
                <w:color w:val="000000"/>
                <w:sz w:val="20"/>
              </w:rPr>
              <w:t>),</w:t>
            </w:r>
            <w:proofErr w:type="gramEnd"/>
            <w:r w:rsidRPr="00A8480D">
              <w:rPr>
                <w:color w:val="000000"/>
                <w:sz w:val="20"/>
              </w:rPr>
              <w:t>e  notificar  a  empresa  para  que  essas parcelas sejam restituídas aos cofres públicos. Caso os valores não sejam ressarcidos, o assunto fugirá à alçada administrativa, devendo ser comunicado o órgão jurídico competente para que tome, caso julgue necessário, as providências para a restituição desses valores.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EB654D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PROAD-DAF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E06DED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E06DED">
              <w:rPr>
                <w:color w:val="000000"/>
                <w:sz w:val="20"/>
                <w:szCs w:val="20"/>
              </w:rPr>
              <w:t xml:space="preserve">53: </w:t>
            </w:r>
            <w:r w:rsidRPr="00E06DED">
              <w:rPr>
                <w:sz w:val="20"/>
                <w:szCs w:val="20"/>
              </w:rPr>
              <w:t xml:space="preserve">Não houve resposta por parte da empresa </w:t>
            </w:r>
            <w:proofErr w:type="spellStart"/>
            <w:r w:rsidRPr="00E06DED">
              <w:rPr>
                <w:sz w:val="20"/>
                <w:szCs w:val="20"/>
              </w:rPr>
              <w:t>Norsergel</w:t>
            </w:r>
            <w:proofErr w:type="spellEnd"/>
            <w:r w:rsidRPr="00E06DED">
              <w:rPr>
                <w:sz w:val="20"/>
                <w:szCs w:val="20"/>
              </w:rPr>
              <w:t xml:space="preserve"> Vigilância e Transporte de Valores Ltda. Requeremos prazo para encaminhamento da solicitação à Procuradoria Federal para aplicação da penalidade cabível, visto que devido à mudança de gestão não houve o repasse e o acompanhamento devido desta constatação.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70364F" w:rsidRDefault="002F1387" w:rsidP="0084687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Por orientação da Procuradoria Federal do </w:t>
            </w: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, foi encaminhado à </w:t>
            </w:r>
            <w:r w:rsidR="00D31303">
              <w:rPr>
                <w:color w:val="000000"/>
                <w:sz w:val="20"/>
              </w:rPr>
              <w:t xml:space="preserve">empresa </w:t>
            </w:r>
            <w:proofErr w:type="spellStart"/>
            <w:r w:rsidR="00D31303">
              <w:rPr>
                <w:color w:val="000000"/>
                <w:sz w:val="20"/>
              </w:rPr>
              <w:t>Norgel</w:t>
            </w:r>
            <w:proofErr w:type="spellEnd"/>
            <w:r w:rsidR="00D31303">
              <w:rPr>
                <w:color w:val="000000"/>
                <w:sz w:val="20"/>
              </w:rPr>
              <w:t xml:space="preserve"> Vigilância </w:t>
            </w:r>
            <w:r>
              <w:rPr>
                <w:color w:val="000000"/>
                <w:sz w:val="20"/>
              </w:rPr>
              <w:t xml:space="preserve">os seguintes documentos: Ofício nº 016 PROAD/IFAM, de 15 de janeiro de 2015 e Ofício nº </w:t>
            </w:r>
            <w:r w:rsidR="00D31303">
              <w:rPr>
                <w:color w:val="000000"/>
                <w:sz w:val="20"/>
              </w:rPr>
              <w:t>56</w:t>
            </w:r>
            <w:r>
              <w:rPr>
                <w:color w:val="000000"/>
                <w:sz w:val="20"/>
              </w:rPr>
              <w:t xml:space="preserve"> – PROAD/IFAM</w:t>
            </w:r>
            <w:r w:rsidR="00D3130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de 05 de março de 2015,</w:t>
            </w:r>
            <w:proofErr w:type="gramStart"/>
            <w:r>
              <w:rPr>
                <w:color w:val="000000"/>
                <w:sz w:val="20"/>
              </w:rPr>
              <w:t xml:space="preserve"> </w:t>
            </w:r>
            <w:r w:rsidR="00D31303">
              <w:rPr>
                <w:color w:val="000000"/>
                <w:sz w:val="20"/>
              </w:rPr>
              <w:t xml:space="preserve"> </w:t>
            </w:r>
            <w:proofErr w:type="gramEnd"/>
            <w:r>
              <w:rPr>
                <w:color w:val="000000"/>
                <w:sz w:val="20"/>
              </w:rPr>
              <w:t>ambos com  notificação do valor a ser restituído ao erário, orientação para apresentar comprovação de pagamento e GRU, anexa</w:t>
            </w:r>
            <w:r w:rsidR="002C1425">
              <w:rPr>
                <w:color w:val="000000"/>
                <w:sz w:val="20"/>
              </w:rPr>
              <w:t>, com data de vencimento para 30/04/2015</w:t>
            </w:r>
            <w:r w:rsidR="00D31303">
              <w:rPr>
                <w:color w:val="000000"/>
                <w:sz w:val="20"/>
              </w:rPr>
              <w:t>.</w:t>
            </w:r>
            <w:r w:rsidR="0084687A">
              <w:rPr>
                <w:color w:val="000000"/>
                <w:sz w:val="20"/>
              </w:rPr>
              <w:t xml:space="preserve"> </w:t>
            </w:r>
            <w:r w:rsidR="00D31303">
              <w:rPr>
                <w:color w:val="000000"/>
                <w:sz w:val="20"/>
              </w:rPr>
              <w:t xml:space="preserve"> No entanto, estamos aguardando</w:t>
            </w:r>
            <w:r>
              <w:rPr>
                <w:color w:val="000000"/>
                <w:sz w:val="20"/>
              </w:rPr>
              <w:t xml:space="preserve"> comprovação de </w:t>
            </w:r>
            <w:r w:rsidR="00D31303">
              <w:rPr>
                <w:color w:val="000000"/>
                <w:sz w:val="20"/>
              </w:rPr>
              <w:t>pag</w:t>
            </w:r>
            <w:r>
              <w:rPr>
                <w:color w:val="000000"/>
                <w:sz w:val="20"/>
              </w:rPr>
              <w:t>amento do valor.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 w:rsidSect="00816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B6E33"/>
    <w:rsid w:val="001C0F5A"/>
    <w:rsid w:val="002C1425"/>
    <w:rsid w:val="002F1387"/>
    <w:rsid w:val="00372048"/>
    <w:rsid w:val="00382F68"/>
    <w:rsid w:val="00396DE6"/>
    <w:rsid w:val="00402177"/>
    <w:rsid w:val="006B3BF6"/>
    <w:rsid w:val="00816B73"/>
    <w:rsid w:val="0084687A"/>
    <w:rsid w:val="00893146"/>
    <w:rsid w:val="009819EC"/>
    <w:rsid w:val="00A11536"/>
    <w:rsid w:val="00A8480D"/>
    <w:rsid w:val="00A85134"/>
    <w:rsid w:val="00D31303"/>
    <w:rsid w:val="00E06DED"/>
    <w:rsid w:val="00EB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2015-03-19T15:14:00Z</dcterms:created>
  <dcterms:modified xsi:type="dcterms:W3CDTF">2015-03-19T15:14:00Z</dcterms:modified>
</cp:coreProperties>
</file>