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048" w:rsidRPr="0070364F" w:rsidRDefault="00372048" w:rsidP="00372048">
      <w:pPr>
        <w:pStyle w:val="Epgrafe"/>
      </w:pPr>
      <w:bookmarkStart w:id="0" w:name="_Toc386651616"/>
      <w:r w:rsidRPr="0070364F">
        <w:t>Quadro A.</w:t>
      </w:r>
      <w:r>
        <w:t>11.2.1</w:t>
      </w:r>
      <w:r w:rsidRPr="0070364F">
        <w:t xml:space="preserve"> </w:t>
      </w:r>
      <w:r>
        <w:t xml:space="preserve">– </w:t>
      </w:r>
      <w:r w:rsidRPr="0070364F">
        <w:t xml:space="preserve">Relatório de cumprimento das </w:t>
      </w:r>
      <w:r>
        <w:t>recomendações do órgão de controle interno</w:t>
      </w:r>
      <w:bookmarkEnd w:id="0"/>
    </w:p>
    <w:tbl>
      <w:tblPr>
        <w:tblW w:w="4933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3496"/>
        <w:gridCol w:w="1704"/>
        <w:gridCol w:w="889"/>
        <w:gridCol w:w="1588"/>
      </w:tblGrid>
      <w:tr w:rsidR="00372048" w:rsidRPr="0070364F" w:rsidTr="00214CA4">
        <w:trPr>
          <w:trHeight w:val="356"/>
        </w:trPr>
        <w:tc>
          <w:tcPr>
            <w:tcW w:w="5000" w:type="pct"/>
            <w:gridSpan w:val="5"/>
            <w:shd w:val="clear" w:color="auto" w:fill="A6A6A6"/>
            <w:noWrap/>
            <w:vAlign w:val="bottom"/>
            <w:hideMark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aps/>
                <w:color w:val="000000"/>
                <w:sz w:val="20"/>
              </w:rPr>
            </w:pPr>
            <w:r w:rsidRPr="0070364F">
              <w:rPr>
                <w:b/>
                <w:caps/>
                <w:color w:val="000000"/>
                <w:sz w:val="20"/>
              </w:rPr>
              <w:t>U</w:t>
            </w:r>
            <w:r w:rsidRPr="0070364F">
              <w:rPr>
                <w:b/>
                <w:color w:val="000000"/>
                <w:sz w:val="20"/>
              </w:rPr>
              <w:t>nidade Jurisdicionada</w:t>
            </w:r>
          </w:p>
        </w:tc>
      </w:tr>
      <w:tr w:rsidR="00372048" w:rsidRPr="0070364F" w:rsidTr="00214CA4">
        <w:trPr>
          <w:trHeight w:val="356"/>
        </w:trPr>
        <w:tc>
          <w:tcPr>
            <w:tcW w:w="4069" w:type="pct"/>
            <w:gridSpan w:val="4"/>
            <w:shd w:val="clear" w:color="auto" w:fill="BFBFBF"/>
            <w:noWrap/>
            <w:vAlign w:val="bottom"/>
            <w:hideMark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Denominação C</w:t>
            </w:r>
            <w:r w:rsidRPr="0070364F">
              <w:rPr>
                <w:b/>
                <w:color w:val="000000"/>
                <w:sz w:val="20"/>
              </w:rPr>
              <w:t>ompleta</w:t>
            </w:r>
          </w:p>
        </w:tc>
        <w:tc>
          <w:tcPr>
            <w:tcW w:w="931" w:type="pct"/>
            <w:shd w:val="clear" w:color="auto" w:fill="BFBFBF"/>
            <w:vAlign w:val="bottom"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Código SIORG</w:t>
            </w:r>
          </w:p>
        </w:tc>
      </w:tr>
      <w:tr w:rsidR="00372048" w:rsidRPr="0070364F" w:rsidTr="00214CA4">
        <w:trPr>
          <w:trHeight w:val="356"/>
        </w:trPr>
        <w:tc>
          <w:tcPr>
            <w:tcW w:w="4069" w:type="pct"/>
            <w:gridSpan w:val="4"/>
            <w:shd w:val="clear" w:color="auto" w:fill="FFFFFF"/>
            <w:noWrap/>
            <w:vAlign w:val="center"/>
            <w:hideMark/>
          </w:tcPr>
          <w:p w:rsidR="00372048" w:rsidRPr="0070364F" w:rsidRDefault="00396DE6" w:rsidP="00214CA4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Instituto Federal de Educação, Ciência e Tecnologia do Amazonas</w:t>
            </w:r>
          </w:p>
        </w:tc>
        <w:tc>
          <w:tcPr>
            <w:tcW w:w="931" w:type="pct"/>
            <w:shd w:val="clear" w:color="auto" w:fill="FFFFFF"/>
            <w:vAlign w:val="center"/>
          </w:tcPr>
          <w:p w:rsidR="00372048" w:rsidRPr="0070364F" w:rsidRDefault="00396DE6" w:rsidP="00396DE6">
            <w:pPr>
              <w:tabs>
                <w:tab w:val="left" w:pos="3119"/>
              </w:tabs>
              <w:spacing w:line="24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100910</w:t>
            </w:r>
          </w:p>
        </w:tc>
      </w:tr>
      <w:tr w:rsidR="00372048" w:rsidRPr="0070364F" w:rsidTr="00214CA4">
        <w:trPr>
          <w:trHeight w:val="356"/>
        </w:trPr>
        <w:tc>
          <w:tcPr>
            <w:tcW w:w="5000" w:type="pct"/>
            <w:gridSpan w:val="5"/>
            <w:shd w:val="clear" w:color="auto" w:fill="A6A6A6"/>
            <w:noWrap/>
            <w:vAlign w:val="center"/>
            <w:hideMark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Recomendações</w:t>
            </w:r>
            <w:r w:rsidRPr="0070364F">
              <w:rPr>
                <w:b/>
                <w:color w:val="000000"/>
                <w:sz w:val="20"/>
              </w:rPr>
              <w:t xml:space="preserve"> do </w:t>
            </w:r>
            <w:r>
              <w:rPr>
                <w:b/>
                <w:color w:val="000000"/>
                <w:sz w:val="20"/>
              </w:rPr>
              <w:t>OCI</w:t>
            </w:r>
          </w:p>
        </w:tc>
      </w:tr>
      <w:tr w:rsidR="00372048" w:rsidRPr="0070364F" w:rsidTr="00214CA4">
        <w:trPr>
          <w:trHeight w:val="356"/>
        </w:trPr>
        <w:tc>
          <w:tcPr>
            <w:tcW w:w="5000" w:type="pct"/>
            <w:gridSpan w:val="5"/>
            <w:shd w:val="clear" w:color="auto" w:fill="BFBFBF"/>
            <w:noWrap/>
            <w:vAlign w:val="center"/>
            <w:hideMark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Recomendações Expedidas pelo OCI</w:t>
            </w:r>
          </w:p>
        </w:tc>
      </w:tr>
      <w:tr w:rsidR="00372048" w:rsidRPr="0070364F" w:rsidTr="00396DE6">
        <w:trPr>
          <w:trHeight w:val="356"/>
        </w:trPr>
        <w:tc>
          <w:tcPr>
            <w:tcW w:w="499" w:type="pct"/>
            <w:shd w:val="clear" w:color="auto" w:fill="D9D9D9"/>
            <w:noWrap/>
            <w:vAlign w:val="center"/>
            <w:hideMark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Ordem</w:t>
            </w:r>
          </w:p>
        </w:tc>
        <w:tc>
          <w:tcPr>
            <w:tcW w:w="2050" w:type="pct"/>
            <w:shd w:val="clear" w:color="auto" w:fill="D9D9D9"/>
            <w:vAlign w:val="center"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Identificação do Relatório de Auditoria</w:t>
            </w:r>
          </w:p>
        </w:tc>
        <w:tc>
          <w:tcPr>
            <w:tcW w:w="999" w:type="pct"/>
            <w:shd w:val="clear" w:color="auto" w:fill="D9D9D9"/>
            <w:vAlign w:val="center"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Item</w:t>
            </w:r>
            <w:r>
              <w:rPr>
                <w:b/>
                <w:color w:val="000000"/>
                <w:sz w:val="20"/>
              </w:rPr>
              <w:t xml:space="preserve"> do RA</w:t>
            </w:r>
          </w:p>
        </w:tc>
        <w:tc>
          <w:tcPr>
            <w:tcW w:w="1452" w:type="pct"/>
            <w:gridSpan w:val="2"/>
            <w:shd w:val="clear" w:color="auto" w:fill="D9D9D9"/>
            <w:vAlign w:val="center"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Comunicação Expedida</w:t>
            </w:r>
          </w:p>
        </w:tc>
      </w:tr>
      <w:tr w:rsidR="00372048" w:rsidRPr="0070364F" w:rsidTr="00396DE6">
        <w:trPr>
          <w:trHeight w:val="356"/>
        </w:trPr>
        <w:tc>
          <w:tcPr>
            <w:tcW w:w="499" w:type="pct"/>
            <w:shd w:val="clear" w:color="auto" w:fill="auto"/>
            <w:noWrap/>
            <w:vAlign w:val="center"/>
            <w:hideMark/>
          </w:tcPr>
          <w:p w:rsidR="00372048" w:rsidRPr="0070364F" w:rsidRDefault="00514246" w:rsidP="00965080">
            <w:pPr>
              <w:tabs>
                <w:tab w:val="left" w:pos="3119"/>
              </w:tabs>
              <w:spacing w:line="24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43</w:t>
            </w:r>
          </w:p>
        </w:tc>
        <w:tc>
          <w:tcPr>
            <w:tcW w:w="2050" w:type="pct"/>
            <w:shd w:val="clear" w:color="auto" w:fill="auto"/>
            <w:vAlign w:val="center"/>
          </w:tcPr>
          <w:p w:rsidR="00372048" w:rsidRPr="0070364F" w:rsidRDefault="009D5A22" w:rsidP="00214CA4">
            <w:pPr>
              <w:tabs>
                <w:tab w:val="left" w:pos="3119"/>
              </w:tabs>
              <w:spacing w:line="24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224764</w:t>
            </w:r>
          </w:p>
        </w:tc>
        <w:tc>
          <w:tcPr>
            <w:tcW w:w="999" w:type="pct"/>
            <w:shd w:val="clear" w:color="auto" w:fill="auto"/>
            <w:vAlign w:val="center"/>
          </w:tcPr>
          <w:p w:rsidR="00372048" w:rsidRPr="0070364F" w:rsidRDefault="005112ED" w:rsidP="00E87744">
            <w:pPr>
              <w:tabs>
                <w:tab w:val="left" w:pos="3119"/>
              </w:tabs>
              <w:spacing w:line="24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452" w:type="pct"/>
            <w:gridSpan w:val="2"/>
            <w:shd w:val="clear" w:color="auto" w:fill="auto"/>
            <w:vAlign w:val="center"/>
          </w:tcPr>
          <w:p w:rsidR="00372048" w:rsidRPr="0070364F" w:rsidRDefault="00396DE6" w:rsidP="00214CA4">
            <w:pPr>
              <w:tabs>
                <w:tab w:val="left" w:pos="3119"/>
              </w:tabs>
              <w:spacing w:line="24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Ofício 30.898/2014 – CGU AM</w:t>
            </w:r>
          </w:p>
        </w:tc>
      </w:tr>
      <w:tr w:rsidR="00372048" w:rsidRPr="0070364F" w:rsidTr="00214CA4">
        <w:trPr>
          <w:trHeight w:val="356"/>
        </w:trPr>
        <w:tc>
          <w:tcPr>
            <w:tcW w:w="4069" w:type="pct"/>
            <w:gridSpan w:val="4"/>
            <w:shd w:val="clear" w:color="auto" w:fill="D9D9D9"/>
            <w:noWrap/>
            <w:vAlign w:val="center"/>
            <w:hideMark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both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Órgão/</w:t>
            </w:r>
            <w:r>
              <w:rPr>
                <w:b/>
                <w:color w:val="000000"/>
                <w:sz w:val="20"/>
              </w:rPr>
              <w:t>E</w:t>
            </w:r>
            <w:r w:rsidRPr="0070364F">
              <w:rPr>
                <w:b/>
                <w:color w:val="000000"/>
                <w:sz w:val="20"/>
              </w:rPr>
              <w:t xml:space="preserve">ntidade </w:t>
            </w:r>
            <w:r>
              <w:rPr>
                <w:b/>
                <w:color w:val="000000"/>
                <w:sz w:val="20"/>
              </w:rPr>
              <w:t>O</w:t>
            </w:r>
            <w:r w:rsidRPr="0070364F">
              <w:rPr>
                <w:b/>
                <w:color w:val="000000"/>
                <w:sz w:val="20"/>
              </w:rPr>
              <w:t xml:space="preserve">bjeto da </w:t>
            </w:r>
            <w:r>
              <w:rPr>
                <w:b/>
                <w:color w:val="000000"/>
                <w:sz w:val="20"/>
              </w:rPr>
              <w:t>R</w:t>
            </w:r>
            <w:r w:rsidRPr="0070364F">
              <w:rPr>
                <w:b/>
                <w:color w:val="000000"/>
                <w:sz w:val="20"/>
              </w:rPr>
              <w:t>ecomendação</w:t>
            </w:r>
          </w:p>
        </w:tc>
        <w:tc>
          <w:tcPr>
            <w:tcW w:w="931" w:type="pct"/>
            <w:shd w:val="clear" w:color="auto" w:fill="D9D9D9"/>
            <w:vAlign w:val="center"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Código SIORG</w:t>
            </w:r>
          </w:p>
        </w:tc>
      </w:tr>
      <w:tr w:rsidR="00372048" w:rsidRPr="0070364F" w:rsidTr="00214CA4">
        <w:trPr>
          <w:trHeight w:val="356"/>
        </w:trPr>
        <w:tc>
          <w:tcPr>
            <w:tcW w:w="4069" w:type="pct"/>
            <w:gridSpan w:val="4"/>
            <w:shd w:val="clear" w:color="auto" w:fill="FFFFFF"/>
            <w:noWrap/>
            <w:vAlign w:val="center"/>
            <w:hideMark/>
          </w:tcPr>
          <w:p w:rsidR="00372048" w:rsidRPr="00402177" w:rsidRDefault="00687721" w:rsidP="00402177">
            <w:pPr>
              <w:tabs>
                <w:tab w:val="left" w:pos="3119"/>
              </w:tabs>
              <w:spacing w:line="246" w:lineRule="auto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Ifam</w:t>
            </w:r>
            <w:proofErr w:type="spellEnd"/>
            <w:r>
              <w:rPr>
                <w:color w:val="000000"/>
                <w:sz w:val="20"/>
              </w:rPr>
              <w:t xml:space="preserve"> Campus Manaus Centro</w:t>
            </w:r>
          </w:p>
        </w:tc>
        <w:tc>
          <w:tcPr>
            <w:tcW w:w="931" w:type="pct"/>
            <w:shd w:val="clear" w:color="auto" w:fill="FFFFFF"/>
            <w:vAlign w:val="center"/>
          </w:tcPr>
          <w:p w:rsidR="00372048" w:rsidRPr="00402177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color w:val="000000"/>
                <w:sz w:val="20"/>
              </w:rPr>
            </w:pPr>
          </w:p>
        </w:tc>
      </w:tr>
      <w:tr w:rsidR="00372048" w:rsidRPr="0070364F" w:rsidTr="00214CA4">
        <w:trPr>
          <w:trHeight w:val="356"/>
        </w:trPr>
        <w:tc>
          <w:tcPr>
            <w:tcW w:w="5000" w:type="pct"/>
            <w:gridSpan w:val="5"/>
            <w:shd w:val="clear" w:color="auto" w:fill="D9D9D9"/>
            <w:noWrap/>
            <w:vAlign w:val="bottom"/>
            <w:hideMark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both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 xml:space="preserve">Descrição da </w:t>
            </w:r>
            <w:r>
              <w:rPr>
                <w:b/>
                <w:color w:val="000000"/>
                <w:sz w:val="20"/>
              </w:rPr>
              <w:t>Recomendação</w:t>
            </w:r>
          </w:p>
        </w:tc>
      </w:tr>
      <w:tr w:rsidR="00372048" w:rsidRPr="0070364F" w:rsidTr="004C687C">
        <w:trPr>
          <w:trHeight w:val="356"/>
        </w:trPr>
        <w:tc>
          <w:tcPr>
            <w:tcW w:w="5000" w:type="pct"/>
            <w:gridSpan w:val="5"/>
            <w:shd w:val="clear" w:color="auto" w:fill="auto"/>
            <w:noWrap/>
            <w:vAlign w:val="bottom"/>
          </w:tcPr>
          <w:p w:rsidR="00372048" w:rsidRPr="0070364F" w:rsidRDefault="006C1DD3" w:rsidP="006C1DD3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  <w:r w:rsidRPr="006C1DD3">
              <w:rPr>
                <w:color w:val="000000"/>
                <w:sz w:val="20"/>
              </w:rPr>
              <w:t>Demonstrar</w:t>
            </w:r>
            <w:proofErr w:type="gramStart"/>
            <w:r w:rsidRPr="006C1DD3">
              <w:rPr>
                <w:color w:val="000000"/>
                <w:sz w:val="20"/>
              </w:rPr>
              <w:t xml:space="preserve">  </w:t>
            </w:r>
            <w:proofErr w:type="gramEnd"/>
            <w:r w:rsidRPr="006C1DD3">
              <w:rPr>
                <w:color w:val="000000"/>
                <w:sz w:val="20"/>
              </w:rPr>
              <w:t xml:space="preserve">que  a  realização de pregão presencial ao invés do pregão eletrônico  não  resultou  em  aquisição  </w:t>
            </w:r>
            <w:proofErr w:type="spellStart"/>
            <w:r w:rsidRPr="006C1DD3">
              <w:rPr>
                <w:color w:val="000000"/>
                <w:sz w:val="20"/>
              </w:rPr>
              <w:t>anti-econômica</w:t>
            </w:r>
            <w:proofErr w:type="spellEnd"/>
            <w:r w:rsidRPr="006C1DD3">
              <w:rPr>
                <w:color w:val="000000"/>
                <w:sz w:val="20"/>
              </w:rPr>
              <w:t xml:space="preserve">  dos  bens ou serviços e não comprometeu a efetividade da ação executada.</w:t>
            </w:r>
          </w:p>
        </w:tc>
      </w:tr>
      <w:tr w:rsidR="00372048" w:rsidRPr="0070364F" w:rsidTr="00214CA4">
        <w:trPr>
          <w:trHeight w:val="356"/>
        </w:trPr>
        <w:tc>
          <w:tcPr>
            <w:tcW w:w="5000" w:type="pct"/>
            <w:gridSpan w:val="5"/>
            <w:shd w:val="clear" w:color="auto" w:fill="BFBFBF"/>
            <w:noWrap/>
            <w:vAlign w:val="bottom"/>
            <w:hideMark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Providências Adotadas</w:t>
            </w:r>
          </w:p>
        </w:tc>
      </w:tr>
      <w:tr w:rsidR="00372048" w:rsidRPr="0070364F" w:rsidTr="00214CA4">
        <w:trPr>
          <w:trHeight w:val="356"/>
        </w:trPr>
        <w:tc>
          <w:tcPr>
            <w:tcW w:w="4069" w:type="pct"/>
            <w:gridSpan w:val="4"/>
            <w:shd w:val="clear" w:color="auto" w:fill="D9D9D9"/>
            <w:noWrap/>
            <w:vAlign w:val="bottom"/>
            <w:hideMark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both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 xml:space="preserve">Setor </w:t>
            </w:r>
            <w:r>
              <w:rPr>
                <w:b/>
                <w:color w:val="000000"/>
                <w:sz w:val="20"/>
              </w:rPr>
              <w:t>R</w:t>
            </w:r>
            <w:r w:rsidRPr="0070364F">
              <w:rPr>
                <w:b/>
                <w:color w:val="000000"/>
                <w:sz w:val="20"/>
              </w:rPr>
              <w:t xml:space="preserve">esponsável pela </w:t>
            </w:r>
            <w:r>
              <w:rPr>
                <w:b/>
                <w:color w:val="000000"/>
                <w:sz w:val="20"/>
              </w:rPr>
              <w:t>I</w:t>
            </w:r>
            <w:r w:rsidRPr="0070364F">
              <w:rPr>
                <w:b/>
                <w:color w:val="000000"/>
                <w:sz w:val="20"/>
              </w:rPr>
              <w:t>mplementação</w:t>
            </w:r>
          </w:p>
        </w:tc>
        <w:tc>
          <w:tcPr>
            <w:tcW w:w="931" w:type="pct"/>
            <w:shd w:val="clear" w:color="auto" w:fill="D9D9D9"/>
            <w:vAlign w:val="bottom"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Código SIORG</w:t>
            </w:r>
          </w:p>
        </w:tc>
      </w:tr>
      <w:tr w:rsidR="00372048" w:rsidRPr="0070364F" w:rsidTr="00214CA4">
        <w:trPr>
          <w:trHeight w:val="356"/>
        </w:trPr>
        <w:tc>
          <w:tcPr>
            <w:tcW w:w="4069" w:type="pct"/>
            <w:gridSpan w:val="4"/>
            <w:shd w:val="clear" w:color="auto" w:fill="auto"/>
            <w:noWrap/>
            <w:vAlign w:val="bottom"/>
            <w:hideMark/>
          </w:tcPr>
          <w:p w:rsidR="00372048" w:rsidRPr="0070364F" w:rsidRDefault="009D5A22" w:rsidP="00382F68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D</w:t>
            </w:r>
            <w:r w:rsidR="00687721">
              <w:rPr>
                <w:color w:val="000000"/>
                <w:sz w:val="20"/>
              </w:rPr>
              <w:t xml:space="preserve">epartamento de </w:t>
            </w:r>
            <w:r>
              <w:rPr>
                <w:color w:val="000000"/>
                <w:sz w:val="20"/>
              </w:rPr>
              <w:t>A</w:t>
            </w:r>
            <w:r w:rsidR="00687721">
              <w:rPr>
                <w:color w:val="000000"/>
                <w:sz w:val="20"/>
              </w:rPr>
              <w:t xml:space="preserve">dministração e </w:t>
            </w:r>
            <w:r>
              <w:rPr>
                <w:color w:val="000000"/>
                <w:sz w:val="20"/>
              </w:rPr>
              <w:t>P</w:t>
            </w:r>
            <w:r w:rsidR="00687721">
              <w:rPr>
                <w:color w:val="000000"/>
                <w:sz w:val="20"/>
              </w:rPr>
              <w:t>lanejamento - DAP</w:t>
            </w:r>
          </w:p>
        </w:tc>
        <w:tc>
          <w:tcPr>
            <w:tcW w:w="931" w:type="pct"/>
            <w:shd w:val="clear" w:color="auto" w:fill="auto"/>
            <w:vAlign w:val="bottom"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</w:p>
        </w:tc>
      </w:tr>
      <w:tr w:rsidR="00372048" w:rsidRPr="0070364F" w:rsidTr="00214CA4">
        <w:trPr>
          <w:trHeight w:val="356"/>
        </w:trPr>
        <w:tc>
          <w:tcPr>
            <w:tcW w:w="5000" w:type="pct"/>
            <w:gridSpan w:val="5"/>
            <w:shd w:val="clear" w:color="auto" w:fill="D9D9D9"/>
            <w:noWrap/>
            <w:vAlign w:val="bottom"/>
            <w:hideMark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 xml:space="preserve">Síntese da </w:t>
            </w:r>
            <w:r>
              <w:rPr>
                <w:b/>
                <w:color w:val="000000"/>
                <w:sz w:val="20"/>
              </w:rPr>
              <w:t>P</w:t>
            </w:r>
            <w:r w:rsidRPr="0070364F">
              <w:rPr>
                <w:b/>
                <w:color w:val="000000"/>
                <w:sz w:val="20"/>
              </w:rPr>
              <w:t xml:space="preserve">rovidência </w:t>
            </w:r>
            <w:r>
              <w:rPr>
                <w:b/>
                <w:color w:val="000000"/>
                <w:sz w:val="20"/>
              </w:rPr>
              <w:t>A</w:t>
            </w:r>
            <w:r w:rsidRPr="0070364F">
              <w:rPr>
                <w:b/>
                <w:color w:val="000000"/>
                <w:sz w:val="20"/>
              </w:rPr>
              <w:t>dotada</w:t>
            </w:r>
          </w:p>
        </w:tc>
      </w:tr>
      <w:tr w:rsidR="00372048" w:rsidRPr="0070364F" w:rsidTr="00214CA4">
        <w:trPr>
          <w:trHeight w:val="356"/>
        </w:trPr>
        <w:tc>
          <w:tcPr>
            <w:tcW w:w="5000" w:type="pct"/>
            <w:gridSpan w:val="5"/>
            <w:shd w:val="clear" w:color="auto" w:fill="auto"/>
            <w:noWrap/>
            <w:vAlign w:val="bottom"/>
            <w:hideMark/>
          </w:tcPr>
          <w:p w:rsidR="00375E2F" w:rsidRPr="008A61F0" w:rsidRDefault="006C1DD3" w:rsidP="00B8554E">
            <w:pPr>
              <w:spacing w:before="0" w:after="0"/>
              <w:jc w:val="both"/>
              <w:rPr>
                <w:rFonts w:eastAsiaTheme="minorHAnsi"/>
                <w:sz w:val="20"/>
                <w:szCs w:val="20"/>
              </w:rPr>
            </w:pPr>
            <w:r w:rsidRPr="008A61F0">
              <w:rPr>
                <w:rFonts w:eastAsiaTheme="minorHAnsi"/>
                <w:sz w:val="20"/>
                <w:szCs w:val="20"/>
              </w:rPr>
              <w:t xml:space="preserve">Atualmente a </w:t>
            </w:r>
            <w:r w:rsidR="00B8554E" w:rsidRPr="008A61F0">
              <w:rPr>
                <w:rFonts w:eastAsiaTheme="minorHAnsi"/>
                <w:sz w:val="20"/>
                <w:szCs w:val="20"/>
              </w:rPr>
              <w:t>Administração</w:t>
            </w:r>
            <w:r w:rsidRPr="008A61F0">
              <w:rPr>
                <w:rFonts w:eastAsiaTheme="minorHAnsi"/>
                <w:sz w:val="20"/>
                <w:szCs w:val="20"/>
              </w:rPr>
              <w:t xml:space="preserve"> Publica pode valer-se de </w:t>
            </w:r>
            <w:r w:rsidRPr="008A61F0">
              <w:rPr>
                <w:rFonts w:eastAsia="Verdana,Bold"/>
                <w:b/>
                <w:bCs/>
                <w:sz w:val="20"/>
                <w:szCs w:val="20"/>
              </w:rPr>
              <w:t xml:space="preserve">duas </w:t>
            </w:r>
            <w:r w:rsidR="00B8554E" w:rsidRPr="008A61F0">
              <w:rPr>
                <w:rFonts w:eastAsiaTheme="minorHAnsi"/>
                <w:sz w:val="20"/>
                <w:szCs w:val="20"/>
              </w:rPr>
              <w:t xml:space="preserve">espécies </w:t>
            </w:r>
            <w:r w:rsidRPr="008A61F0">
              <w:rPr>
                <w:rFonts w:eastAsiaTheme="minorHAnsi"/>
                <w:sz w:val="20"/>
                <w:szCs w:val="20"/>
              </w:rPr>
              <w:t xml:space="preserve">distintas de </w:t>
            </w:r>
            <w:r w:rsidR="00B8554E" w:rsidRPr="008A61F0">
              <w:rPr>
                <w:rFonts w:eastAsia="Verdana,BoldItalic"/>
                <w:b/>
                <w:bCs/>
                <w:i/>
                <w:iCs/>
                <w:sz w:val="20"/>
                <w:szCs w:val="20"/>
              </w:rPr>
              <w:t>pregão</w:t>
            </w:r>
            <w:r w:rsidRPr="008A61F0">
              <w:rPr>
                <w:rFonts w:eastAsia="Verdana,BoldItalic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8A61F0">
              <w:rPr>
                <w:rFonts w:eastAsiaTheme="minorHAnsi"/>
                <w:sz w:val="20"/>
                <w:szCs w:val="20"/>
              </w:rPr>
              <w:t xml:space="preserve">para a </w:t>
            </w:r>
            <w:r w:rsidR="00B8554E" w:rsidRPr="008A61F0">
              <w:rPr>
                <w:rFonts w:eastAsiaTheme="minorHAnsi"/>
                <w:sz w:val="20"/>
                <w:szCs w:val="20"/>
              </w:rPr>
              <w:t>aquisição</w:t>
            </w:r>
            <w:r w:rsidRPr="008A61F0">
              <w:rPr>
                <w:rFonts w:eastAsiaTheme="minorHAnsi"/>
                <w:sz w:val="20"/>
                <w:szCs w:val="20"/>
              </w:rPr>
              <w:t xml:space="preserve"> de bens e </w:t>
            </w:r>
            <w:r w:rsidR="00B8554E" w:rsidRPr="008A61F0">
              <w:rPr>
                <w:rFonts w:eastAsiaTheme="minorHAnsi"/>
                <w:sz w:val="20"/>
                <w:szCs w:val="20"/>
              </w:rPr>
              <w:t>serviços</w:t>
            </w:r>
            <w:r w:rsidRPr="008A61F0">
              <w:rPr>
                <w:rFonts w:eastAsiaTheme="minorHAnsi"/>
                <w:sz w:val="20"/>
                <w:szCs w:val="20"/>
              </w:rPr>
              <w:t xml:space="preserve"> comuns: o </w:t>
            </w:r>
            <w:r w:rsidR="00B8554E" w:rsidRPr="008A61F0">
              <w:rPr>
                <w:rFonts w:eastAsia="Verdana,BoldItalic"/>
                <w:b/>
                <w:bCs/>
                <w:i/>
                <w:iCs/>
                <w:sz w:val="20"/>
                <w:szCs w:val="20"/>
              </w:rPr>
              <w:t>presencial</w:t>
            </w:r>
            <w:r w:rsidR="00B8554E" w:rsidRPr="008A61F0">
              <w:rPr>
                <w:rFonts w:eastAsiaTheme="minorHAnsi"/>
                <w:sz w:val="20"/>
                <w:szCs w:val="20"/>
              </w:rPr>
              <w:t xml:space="preserve"> e</w:t>
            </w:r>
            <w:r w:rsidRPr="008A61F0">
              <w:rPr>
                <w:rFonts w:eastAsiaTheme="minorHAnsi"/>
                <w:sz w:val="20"/>
                <w:szCs w:val="20"/>
              </w:rPr>
              <w:t xml:space="preserve"> o </w:t>
            </w:r>
            <w:r w:rsidRPr="008A61F0">
              <w:rPr>
                <w:rFonts w:eastAsia="Verdana,BoldItalic"/>
                <w:b/>
                <w:bCs/>
                <w:i/>
                <w:iCs/>
                <w:sz w:val="20"/>
                <w:szCs w:val="20"/>
              </w:rPr>
              <w:t>eletrônico</w:t>
            </w:r>
            <w:r w:rsidRPr="008A61F0">
              <w:rPr>
                <w:rFonts w:eastAsiaTheme="minorHAnsi"/>
                <w:sz w:val="20"/>
                <w:szCs w:val="20"/>
              </w:rPr>
              <w:t xml:space="preserve">. A escolha da espécie é </w:t>
            </w:r>
            <w:r w:rsidR="00B8554E" w:rsidRPr="008A61F0">
              <w:rPr>
                <w:rFonts w:eastAsiaTheme="minorHAnsi"/>
                <w:sz w:val="20"/>
                <w:szCs w:val="20"/>
              </w:rPr>
              <w:t>definida de acordo com o objeto.</w:t>
            </w:r>
          </w:p>
          <w:p w:rsidR="00B8554E" w:rsidRPr="008A61F0" w:rsidRDefault="00B8554E" w:rsidP="00B8554E">
            <w:pPr>
              <w:spacing w:before="0" w:after="0"/>
              <w:jc w:val="both"/>
              <w:rPr>
                <w:rFonts w:eastAsiaTheme="minorHAnsi"/>
                <w:sz w:val="20"/>
                <w:szCs w:val="20"/>
              </w:rPr>
            </w:pPr>
            <w:r w:rsidRPr="008A61F0">
              <w:rPr>
                <w:rFonts w:eastAsiaTheme="minorHAnsi"/>
                <w:sz w:val="20"/>
                <w:szCs w:val="20"/>
              </w:rPr>
              <w:t>Informamos que após a implantação do citado pregão eletrônico ocorreram algumas dificuldades.</w:t>
            </w:r>
          </w:p>
          <w:p w:rsidR="006C1DD3" w:rsidRPr="00E06DED" w:rsidRDefault="00B8554E" w:rsidP="008A61F0">
            <w:pPr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8A61F0">
              <w:rPr>
                <w:rFonts w:eastAsiaTheme="minorHAnsi"/>
                <w:sz w:val="20"/>
                <w:szCs w:val="20"/>
              </w:rPr>
              <w:t xml:space="preserve">Todavia, nos dias atuais, não ocorreram </w:t>
            </w:r>
            <w:proofErr w:type="gramStart"/>
            <w:r w:rsidRPr="008A61F0">
              <w:rPr>
                <w:rFonts w:eastAsiaTheme="minorHAnsi"/>
                <w:sz w:val="20"/>
                <w:szCs w:val="20"/>
              </w:rPr>
              <w:t>as</w:t>
            </w:r>
            <w:proofErr w:type="gramEnd"/>
            <w:r w:rsidRPr="008A61F0">
              <w:rPr>
                <w:rFonts w:eastAsiaTheme="minorHAnsi"/>
                <w:sz w:val="20"/>
                <w:szCs w:val="20"/>
              </w:rPr>
              <w:t xml:space="preserve"> dificuldades inicialmente vivenciadas.</w:t>
            </w:r>
          </w:p>
        </w:tc>
      </w:tr>
      <w:tr w:rsidR="00372048" w:rsidRPr="0070364F" w:rsidTr="00214CA4">
        <w:trPr>
          <w:trHeight w:val="356"/>
        </w:trPr>
        <w:tc>
          <w:tcPr>
            <w:tcW w:w="5000" w:type="pct"/>
            <w:gridSpan w:val="5"/>
            <w:shd w:val="clear" w:color="auto" w:fill="D9D9D9"/>
            <w:noWrap/>
            <w:vAlign w:val="bottom"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both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 xml:space="preserve">Síntese dos </w:t>
            </w:r>
            <w:r>
              <w:rPr>
                <w:b/>
                <w:color w:val="000000"/>
                <w:sz w:val="20"/>
              </w:rPr>
              <w:t>R</w:t>
            </w:r>
            <w:r w:rsidRPr="0070364F">
              <w:rPr>
                <w:b/>
                <w:color w:val="000000"/>
                <w:sz w:val="20"/>
              </w:rPr>
              <w:t xml:space="preserve">esultados </w:t>
            </w:r>
            <w:r>
              <w:rPr>
                <w:b/>
                <w:color w:val="000000"/>
                <w:sz w:val="20"/>
              </w:rPr>
              <w:t>O</w:t>
            </w:r>
            <w:r w:rsidRPr="0070364F">
              <w:rPr>
                <w:b/>
                <w:color w:val="000000"/>
                <w:sz w:val="20"/>
              </w:rPr>
              <w:t>btidos</w:t>
            </w:r>
          </w:p>
        </w:tc>
      </w:tr>
      <w:tr w:rsidR="00372048" w:rsidRPr="0070364F" w:rsidTr="00214CA4">
        <w:trPr>
          <w:trHeight w:val="356"/>
        </w:trPr>
        <w:tc>
          <w:tcPr>
            <w:tcW w:w="5000" w:type="pct"/>
            <w:gridSpan w:val="5"/>
            <w:shd w:val="clear" w:color="auto" w:fill="auto"/>
            <w:noWrap/>
            <w:vAlign w:val="bottom"/>
            <w:hideMark/>
          </w:tcPr>
          <w:p w:rsidR="00372048" w:rsidRPr="0070364F" w:rsidRDefault="00F41F56" w:rsidP="00214CA4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Aguardando retorno da CGU.</w:t>
            </w:r>
          </w:p>
        </w:tc>
      </w:tr>
      <w:tr w:rsidR="00372048" w:rsidRPr="0070364F" w:rsidTr="00214CA4">
        <w:trPr>
          <w:trHeight w:val="356"/>
        </w:trPr>
        <w:tc>
          <w:tcPr>
            <w:tcW w:w="5000" w:type="pct"/>
            <w:gridSpan w:val="5"/>
            <w:shd w:val="clear" w:color="auto" w:fill="D9D9D9"/>
            <w:noWrap/>
            <w:vAlign w:val="bottom"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both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 xml:space="preserve">Análise </w:t>
            </w:r>
            <w:r>
              <w:rPr>
                <w:b/>
                <w:color w:val="000000"/>
                <w:sz w:val="20"/>
              </w:rPr>
              <w:t>C</w:t>
            </w:r>
            <w:r w:rsidRPr="0070364F">
              <w:rPr>
                <w:b/>
                <w:color w:val="000000"/>
                <w:sz w:val="20"/>
              </w:rPr>
              <w:t xml:space="preserve">rítica dos </w:t>
            </w:r>
            <w:r>
              <w:rPr>
                <w:b/>
                <w:color w:val="000000"/>
                <w:sz w:val="20"/>
              </w:rPr>
              <w:t>F</w:t>
            </w:r>
            <w:r w:rsidRPr="0070364F">
              <w:rPr>
                <w:b/>
                <w:color w:val="000000"/>
                <w:sz w:val="20"/>
              </w:rPr>
              <w:t xml:space="preserve">atores </w:t>
            </w:r>
            <w:r>
              <w:rPr>
                <w:b/>
                <w:color w:val="000000"/>
                <w:sz w:val="20"/>
              </w:rPr>
              <w:t>P</w:t>
            </w:r>
            <w:r w:rsidRPr="0070364F">
              <w:rPr>
                <w:b/>
                <w:color w:val="000000"/>
                <w:sz w:val="20"/>
              </w:rPr>
              <w:t>ositivos/</w:t>
            </w:r>
            <w:r>
              <w:rPr>
                <w:b/>
                <w:color w:val="000000"/>
                <w:sz w:val="20"/>
              </w:rPr>
              <w:t>N</w:t>
            </w:r>
            <w:r w:rsidRPr="0070364F">
              <w:rPr>
                <w:b/>
                <w:color w:val="000000"/>
                <w:sz w:val="20"/>
              </w:rPr>
              <w:t xml:space="preserve">egativos que </w:t>
            </w:r>
            <w:r>
              <w:rPr>
                <w:b/>
                <w:color w:val="000000"/>
                <w:sz w:val="20"/>
              </w:rPr>
              <w:t>Facilitaram/P</w:t>
            </w:r>
            <w:r w:rsidRPr="0070364F">
              <w:rPr>
                <w:b/>
                <w:color w:val="000000"/>
                <w:sz w:val="20"/>
              </w:rPr>
              <w:t xml:space="preserve">rejudicaram a </w:t>
            </w:r>
            <w:r>
              <w:rPr>
                <w:b/>
                <w:color w:val="000000"/>
                <w:sz w:val="20"/>
              </w:rPr>
              <w:t>A</w:t>
            </w:r>
            <w:r w:rsidRPr="0070364F">
              <w:rPr>
                <w:b/>
                <w:color w:val="000000"/>
                <w:sz w:val="20"/>
              </w:rPr>
              <w:t xml:space="preserve">doção de </w:t>
            </w:r>
            <w:r>
              <w:rPr>
                <w:b/>
                <w:color w:val="000000"/>
                <w:sz w:val="20"/>
              </w:rPr>
              <w:t>P</w:t>
            </w:r>
            <w:r w:rsidRPr="0070364F">
              <w:rPr>
                <w:b/>
                <w:color w:val="000000"/>
                <w:sz w:val="20"/>
              </w:rPr>
              <w:t xml:space="preserve">rovidências pelo </w:t>
            </w:r>
            <w:r>
              <w:rPr>
                <w:b/>
                <w:color w:val="000000"/>
                <w:sz w:val="20"/>
              </w:rPr>
              <w:t>G</w:t>
            </w:r>
            <w:r w:rsidRPr="0070364F">
              <w:rPr>
                <w:b/>
                <w:color w:val="000000"/>
                <w:sz w:val="20"/>
              </w:rPr>
              <w:t>estor</w:t>
            </w:r>
          </w:p>
        </w:tc>
      </w:tr>
      <w:tr w:rsidR="008A61F0" w:rsidRPr="008A61F0" w:rsidTr="00214CA4">
        <w:trPr>
          <w:trHeight w:val="356"/>
        </w:trPr>
        <w:tc>
          <w:tcPr>
            <w:tcW w:w="5000" w:type="pct"/>
            <w:gridSpan w:val="5"/>
            <w:shd w:val="clear" w:color="auto" w:fill="FFFFFF"/>
            <w:noWrap/>
            <w:vAlign w:val="bottom"/>
          </w:tcPr>
          <w:p w:rsidR="00B8554E" w:rsidRPr="008A61F0" w:rsidRDefault="00B8554E" w:rsidP="00B8554E">
            <w:pPr>
              <w:spacing w:before="0" w:after="0"/>
              <w:jc w:val="both"/>
              <w:rPr>
                <w:rFonts w:eastAsiaTheme="minorHAnsi"/>
                <w:sz w:val="20"/>
                <w:szCs w:val="20"/>
              </w:rPr>
            </w:pPr>
            <w:bookmarkStart w:id="1" w:name="_GoBack" w:colFirst="0" w:colLast="1"/>
            <w:r w:rsidRPr="008A61F0">
              <w:rPr>
                <w:sz w:val="20"/>
                <w:szCs w:val="20"/>
              </w:rPr>
              <w:t xml:space="preserve">São fatores positivos: estimular os servidores que atuam como pregoeiros a participar em curso de capacitação que versam sobre </w:t>
            </w:r>
            <w:r w:rsidRPr="008A61F0">
              <w:rPr>
                <w:rFonts w:eastAsiaTheme="minorHAnsi"/>
                <w:sz w:val="20"/>
                <w:szCs w:val="20"/>
              </w:rPr>
              <w:t xml:space="preserve">O pregão eletrônico, </w:t>
            </w:r>
            <w:r w:rsidRPr="008A61F0">
              <w:rPr>
                <w:rFonts w:eastAsia="Verdana,Bold"/>
                <w:b/>
                <w:bCs/>
                <w:sz w:val="20"/>
                <w:szCs w:val="20"/>
              </w:rPr>
              <w:t xml:space="preserve">espécie </w:t>
            </w:r>
            <w:r w:rsidRPr="008A61F0">
              <w:rPr>
                <w:rFonts w:eastAsiaTheme="minorHAnsi"/>
                <w:sz w:val="20"/>
                <w:szCs w:val="20"/>
              </w:rPr>
              <w:t>do gênero “</w:t>
            </w:r>
            <w:r w:rsidRPr="008A61F0">
              <w:rPr>
                <w:rFonts w:eastAsia="Verdana,BoldItalic"/>
                <w:b/>
                <w:bCs/>
                <w:i/>
                <w:iCs/>
                <w:sz w:val="20"/>
                <w:szCs w:val="20"/>
              </w:rPr>
              <w:t>pregão</w:t>
            </w:r>
            <w:r w:rsidRPr="008A61F0">
              <w:rPr>
                <w:rFonts w:eastAsiaTheme="minorHAnsi"/>
                <w:sz w:val="20"/>
                <w:szCs w:val="20"/>
              </w:rPr>
              <w:t xml:space="preserve">”, </w:t>
            </w:r>
            <w:proofErr w:type="gramStart"/>
            <w:r w:rsidRPr="008A61F0">
              <w:rPr>
                <w:rFonts w:eastAsiaTheme="minorHAnsi"/>
                <w:sz w:val="20"/>
                <w:szCs w:val="20"/>
              </w:rPr>
              <w:t>encontra-se</w:t>
            </w:r>
            <w:proofErr w:type="gramEnd"/>
            <w:r w:rsidRPr="008A61F0">
              <w:rPr>
                <w:rFonts w:eastAsiaTheme="minorHAnsi"/>
                <w:sz w:val="20"/>
                <w:szCs w:val="20"/>
              </w:rPr>
              <w:t xml:space="preserve"> regulamentado no Decreto Federal no 5.450/05. </w:t>
            </w:r>
          </w:p>
          <w:p w:rsidR="00B8554E" w:rsidRPr="008A61F0" w:rsidRDefault="00B8554E" w:rsidP="00B8554E">
            <w:pPr>
              <w:spacing w:before="0" w:after="0"/>
              <w:jc w:val="both"/>
              <w:rPr>
                <w:sz w:val="22"/>
              </w:rPr>
            </w:pPr>
            <w:r w:rsidRPr="008A61F0">
              <w:rPr>
                <w:rFonts w:eastAsiaTheme="minorHAnsi"/>
                <w:sz w:val="20"/>
                <w:szCs w:val="20"/>
              </w:rPr>
              <w:t>Tal estimulo visa melhorar a atuação do pregoeiro cumprindo o determinado no Decreto n° 5.450, de 31/05/2015.</w:t>
            </w:r>
            <w:r w:rsidRPr="008A61F0">
              <w:rPr>
                <w:rFonts w:ascii="Verdana" w:eastAsiaTheme="minorHAnsi" w:hAnsi="Verdana" w:cs="Verdana"/>
              </w:rPr>
              <w:t xml:space="preserve"> </w:t>
            </w:r>
          </w:p>
        </w:tc>
      </w:tr>
      <w:bookmarkEnd w:id="1"/>
    </w:tbl>
    <w:p w:rsidR="00372048" w:rsidRDefault="00372048" w:rsidP="00372048">
      <w:pPr>
        <w:pStyle w:val="Epgrafe"/>
      </w:pPr>
    </w:p>
    <w:p w:rsidR="00A85134" w:rsidRDefault="00A85134"/>
    <w:sectPr w:rsidR="00A8513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,Bold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BF6"/>
    <w:rsid w:val="00111C56"/>
    <w:rsid w:val="00117C72"/>
    <w:rsid w:val="001B6E33"/>
    <w:rsid w:val="001C0F5A"/>
    <w:rsid w:val="00372048"/>
    <w:rsid w:val="00375E2F"/>
    <w:rsid w:val="00382F68"/>
    <w:rsid w:val="00396DE6"/>
    <w:rsid w:val="00402177"/>
    <w:rsid w:val="004C687C"/>
    <w:rsid w:val="004D404B"/>
    <w:rsid w:val="004D698F"/>
    <w:rsid w:val="005112ED"/>
    <w:rsid w:val="00514246"/>
    <w:rsid w:val="005B370C"/>
    <w:rsid w:val="00624C46"/>
    <w:rsid w:val="00676EBE"/>
    <w:rsid w:val="00687721"/>
    <w:rsid w:val="006B3BF6"/>
    <w:rsid w:val="006C1DD3"/>
    <w:rsid w:val="006F7571"/>
    <w:rsid w:val="007F7745"/>
    <w:rsid w:val="00881519"/>
    <w:rsid w:val="00893146"/>
    <w:rsid w:val="008A61F0"/>
    <w:rsid w:val="00965080"/>
    <w:rsid w:val="009D5A22"/>
    <w:rsid w:val="009D61F1"/>
    <w:rsid w:val="00A11536"/>
    <w:rsid w:val="00A55296"/>
    <w:rsid w:val="00A8480D"/>
    <w:rsid w:val="00A85134"/>
    <w:rsid w:val="00B8554E"/>
    <w:rsid w:val="00C47DE0"/>
    <w:rsid w:val="00D21AB5"/>
    <w:rsid w:val="00D74405"/>
    <w:rsid w:val="00DC568E"/>
    <w:rsid w:val="00E06DED"/>
    <w:rsid w:val="00E83873"/>
    <w:rsid w:val="00E87744"/>
    <w:rsid w:val="00EB654D"/>
    <w:rsid w:val="00F41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048"/>
    <w:pPr>
      <w:autoSpaceDE w:val="0"/>
      <w:autoSpaceDN w:val="0"/>
      <w:adjustRightInd w:val="0"/>
      <w:spacing w:before="60" w:after="6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pgrafe">
    <w:name w:val="#Epígrafe"/>
    <w:basedOn w:val="Normal"/>
    <w:autoRedefine/>
    <w:qFormat/>
    <w:rsid w:val="00372048"/>
    <w:pPr>
      <w:widowControl w:val="0"/>
      <w:tabs>
        <w:tab w:val="left" w:pos="426"/>
      </w:tabs>
      <w:suppressAutoHyphens/>
      <w:autoSpaceDE/>
      <w:autoSpaceDN/>
      <w:adjustRightInd/>
      <w:spacing w:before="90" w:after="45"/>
      <w:ind w:left="57"/>
    </w:pPr>
    <w:rPr>
      <w:b/>
      <w:sz w:val="20"/>
      <w:szCs w:val="16"/>
      <w:lang w:bidi="en-US"/>
    </w:rPr>
  </w:style>
  <w:style w:type="paragraph" w:styleId="PargrafodaLista">
    <w:name w:val="List Paragraph"/>
    <w:basedOn w:val="Normal"/>
    <w:uiPriority w:val="34"/>
    <w:qFormat/>
    <w:rsid w:val="00382F68"/>
    <w:pPr>
      <w:autoSpaceDE/>
      <w:autoSpaceDN/>
      <w:adjustRightInd/>
      <w:spacing w:before="0" w:after="0"/>
      <w:ind w:left="720"/>
      <w:contextualSpacing/>
    </w:pPr>
    <w:rPr>
      <w:rFonts w:eastAsia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048"/>
    <w:pPr>
      <w:autoSpaceDE w:val="0"/>
      <w:autoSpaceDN w:val="0"/>
      <w:adjustRightInd w:val="0"/>
      <w:spacing w:before="60" w:after="6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pgrafe">
    <w:name w:val="#Epígrafe"/>
    <w:basedOn w:val="Normal"/>
    <w:autoRedefine/>
    <w:qFormat/>
    <w:rsid w:val="00372048"/>
    <w:pPr>
      <w:widowControl w:val="0"/>
      <w:tabs>
        <w:tab w:val="left" w:pos="426"/>
      </w:tabs>
      <w:suppressAutoHyphens/>
      <w:autoSpaceDE/>
      <w:autoSpaceDN/>
      <w:adjustRightInd/>
      <w:spacing w:before="90" w:after="45"/>
      <w:ind w:left="57"/>
    </w:pPr>
    <w:rPr>
      <w:b/>
      <w:sz w:val="20"/>
      <w:szCs w:val="16"/>
      <w:lang w:bidi="en-US"/>
    </w:rPr>
  </w:style>
  <w:style w:type="paragraph" w:styleId="PargrafodaLista">
    <w:name w:val="List Paragraph"/>
    <w:basedOn w:val="Normal"/>
    <w:uiPriority w:val="34"/>
    <w:qFormat/>
    <w:rsid w:val="00382F68"/>
    <w:pPr>
      <w:autoSpaceDE/>
      <w:autoSpaceDN/>
      <w:adjustRightInd/>
      <w:spacing w:before="0" w:after="0"/>
      <w:ind w:left="720"/>
      <w:contextualSpacing/>
    </w:pPr>
    <w:rPr>
      <w:rFonts w:eastAsia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8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Samara Santos dos Santos</dc:creator>
  <cp:lastModifiedBy>Samara Santos dos Santos</cp:lastModifiedBy>
  <cp:revision>2</cp:revision>
  <dcterms:created xsi:type="dcterms:W3CDTF">2015-03-19T14:43:00Z</dcterms:created>
  <dcterms:modified xsi:type="dcterms:W3CDTF">2015-03-19T14:43:00Z</dcterms:modified>
</cp:coreProperties>
</file>