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5"/>
        <w:gridCol w:w="1486"/>
        <w:gridCol w:w="1897"/>
        <w:gridCol w:w="795"/>
        <w:gridCol w:w="1370"/>
        <w:gridCol w:w="722"/>
        <w:gridCol w:w="1519"/>
      </w:tblGrid>
      <w:tr w:rsidR="00753F5D" w:rsidRPr="0070364F" w:rsidTr="00753F5D">
        <w:trPr>
          <w:trHeight w:val="410"/>
        </w:trPr>
        <w:tc>
          <w:tcPr>
            <w:tcW w:w="5000" w:type="pct"/>
            <w:gridSpan w:val="7"/>
            <w:shd w:val="clear" w:color="auto" w:fill="A6A6A6"/>
            <w:noWrap/>
            <w:vAlign w:val="bottom"/>
            <w:hideMark/>
          </w:tcPr>
          <w:p w:rsidR="00753F5D" w:rsidRPr="0070364F" w:rsidRDefault="00753F5D" w:rsidP="00753F5D">
            <w:pPr>
              <w:tabs>
                <w:tab w:val="left" w:pos="3119"/>
              </w:tabs>
              <w:spacing w:before="45" w:after="45"/>
              <w:jc w:val="center"/>
              <w:rPr>
                <w:b/>
                <w:caps/>
                <w:color w:val="000000"/>
                <w:sz w:val="20"/>
              </w:rPr>
            </w:pPr>
            <w:r w:rsidRPr="0070364F">
              <w:rPr>
                <w:b/>
                <w:caps/>
                <w:color w:val="000000"/>
                <w:sz w:val="20"/>
              </w:rPr>
              <w:t>U</w:t>
            </w:r>
            <w:r w:rsidRPr="0070364F">
              <w:rPr>
                <w:b/>
                <w:color w:val="000000"/>
                <w:sz w:val="20"/>
              </w:rPr>
              <w:t>nidade Jurisdicionada</w:t>
            </w:r>
          </w:p>
        </w:tc>
      </w:tr>
      <w:tr w:rsidR="00753F5D" w:rsidRPr="0070364F" w:rsidTr="00193B54">
        <w:trPr>
          <w:trHeight w:val="410"/>
        </w:trPr>
        <w:tc>
          <w:tcPr>
            <w:tcW w:w="4106" w:type="pct"/>
            <w:gridSpan w:val="6"/>
            <w:shd w:val="clear" w:color="auto" w:fill="BFBFBF"/>
            <w:noWrap/>
            <w:vAlign w:val="bottom"/>
            <w:hideMark/>
          </w:tcPr>
          <w:p w:rsidR="00753F5D" w:rsidRPr="0070364F" w:rsidRDefault="00753F5D" w:rsidP="00753F5D">
            <w:pPr>
              <w:tabs>
                <w:tab w:val="left" w:pos="3119"/>
              </w:tabs>
              <w:spacing w:before="45" w:after="45"/>
              <w:jc w:val="both"/>
              <w:rPr>
                <w:color w:val="000000"/>
                <w:sz w:val="20"/>
              </w:rPr>
            </w:pPr>
            <w:r w:rsidRPr="0070364F">
              <w:rPr>
                <w:b/>
                <w:color w:val="000000"/>
                <w:sz w:val="20"/>
              </w:rPr>
              <w:t xml:space="preserve">Denominação </w:t>
            </w:r>
            <w:r>
              <w:rPr>
                <w:b/>
                <w:color w:val="000000"/>
                <w:sz w:val="20"/>
              </w:rPr>
              <w:t>C</w:t>
            </w:r>
            <w:r w:rsidRPr="0070364F">
              <w:rPr>
                <w:b/>
                <w:color w:val="000000"/>
                <w:sz w:val="20"/>
              </w:rPr>
              <w:t>ompleta</w:t>
            </w:r>
          </w:p>
        </w:tc>
        <w:tc>
          <w:tcPr>
            <w:tcW w:w="894" w:type="pct"/>
            <w:shd w:val="clear" w:color="auto" w:fill="BFBFBF"/>
            <w:vAlign w:val="bottom"/>
          </w:tcPr>
          <w:p w:rsidR="00753F5D" w:rsidRPr="0070364F" w:rsidRDefault="00753F5D" w:rsidP="00753F5D">
            <w:pPr>
              <w:tabs>
                <w:tab w:val="left" w:pos="3119"/>
              </w:tabs>
              <w:spacing w:before="45" w:after="45"/>
              <w:jc w:val="center"/>
              <w:rPr>
                <w:color w:val="000000"/>
                <w:sz w:val="20"/>
              </w:rPr>
            </w:pPr>
            <w:r w:rsidRPr="0070364F">
              <w:rPr>
                <w:b/>
                <w:color w:val="000000"/>
                <w:sz w:val="20"/>
              </w:rPr>
              <w:t>Código SIORG</w:t>
            </w:r>
          </w:p>
        </w:tc>
      </w:tr>
      <w:tr w:rsidR="00753F5D" w:rsidRPr="0070364F" w:rsidTr="00193B54">
        <w:trPr>
          <w:trHeight w:val="410"/>
        </w:trPr>
        <w:tc>
          <w:tcPr>
            <w:tcW w:w="4106" w:type="pct"/>
            <w:gridSpan w:val="6"/>
            <w:shd w:val="clear" w:color="auto" w:fill="FFFFFF"/>
            <w:noWrap/>
            <w:vAlign w:val="center"/>
            <w:hideMark/>
          </w:tcPr>
          <w:p w:rsidR="00753F5D" w:rsidRPr="0070364F" w:rsidRDefault="00733078" w:rsidP="00753F5D">
            <w:pPr>
              <w:tabs>
                <w:tab w:val="left" w:pos="3119"/>
              </w:tabs>
              <w:spacing w:before="45" w:after="45"/>
              <w:jc w:val="both"/>
              <w:rPr>
                <w:color w:val="000000"/>
                <w:sz w:val="20"/>
              </w:rPr>
            </w:pPr>
            <w:r>
              <w:rPr>
                <w:color w:val="000000"/>
                <w:sz w:val="20"/>
              </w:rPr>
              <w:t xml:space="preserve">Instituto Federal de Educação, Ciência e Tecnologia do </w:t>
            </w:r>
            <w:proofErr w:type="gramStart"/>
            <w:r>
              <w:rPr>
                <w:color w:val="000000"/>
                <w:sz w:val="20"/>
              </w:rPr>
              <w:t>Amazonas</w:t>
            </w:r>
            <w:proofErr w:type="gramEnd"/>
          </w:p>
        </w:tc>
        <w:tc>
          <w:tcPr>
            <w:tcW w:w="894" w:type="pct"/>
            <w:shd w:val="clear" w:color="auto" w:fill="FFFFFF"/>
            <w:vAlign w:val="center"/>
          </w:tcPr>
          <w:p w:rsidR="00753F5D" w:rsidRPr="0070364F" w:rsidRDefault="008A28B7" w:rsidP="00753F5D">
            <w:pPr>
              <w:tabs>
                <w:tab w:val="left" w:pos="3119"/>
              </w:tabs>
              <w:spacing w:before="45" w:after="45"/>
              <w:jc w:val="both"/>
              <w:rPr>
                <w:color w:val="000000"/>
                <w:sz w:val="20"/>
              </w:rPr>
            </w:pPr>
            <w:r w:rsidRPr="00BA3D8D">
              <w:rPr>
                <w:b/>
                <w:color w:val="000000"/>
                <w:sz w:val="20"/>
                <w:szCs w:val="20"/>
              </w:rPr>
              <w:t>100910</w:t>
            </w:r>
          </w:p>
        </w:tc>
      </w:tr>
      <w:tr w:rsidR="00753F5D" w:rsidRPr="0070364F" w:rsidTr="00753F5D">
        <w:trPr>
          <w:trHeight w:val="410"/>
        </w:trPr>
        <w:tc>
          <w:tcPr>
            <w:tcW w:w="5000" w:type="pct"/>
            <w:gridSpan w:val="7"/>
            <w:shd w:val="clear" w:color="auto" w:fill="A6A6A6"/>
            <w:noWrap/>
            <w:vAlign w:val="center"/>
            <w:hideMark/>
          </w:tcPr>
          <w:p w:rsidR="00753F5D" w:rsidRPr="0070364F" w:rsidRDefault="00753F5D" w:rsidP="00753F5D">
            <w:pPr>
              <w:tabs>
                <w:tab w:val="left" w:pos="3119"/>
              </w:tabs>
              <w:spacing w:before="45" w:after="45"/>
              <w:jc w:val="center"/>
              <w:rPr>
                <w:b/>
                <w:color w:val="000000"/>
                <w:sz w:val="20"/>
              </w:rPr>
            </w:pPr>
            <w:r w:rsidRPr="0070364F">
              <w:rPr>
                <w:b/>
                <w:color w:val="000000"/>
                <w:sz w:val="20"/>
              </w:rPr>
              <w:t>Deliberações do TCU</w:t>
            </w:r>
          </w:p>
        </w:tc>
      </w:tr>
      <w:tr w:rsidR="00753F5D" w:rsidRPr="0070364F" w:rsidTr="00753F5D">
        <w:trPr>
          <w:trHeight w:val="410"/>
        </w:trPr>
        <w:tc>
          <w:tcPr>
            <w:tcW w:w="5000" w:type="pct"/>
            <w:gridSpan w:val="7"/>
            <w:shd w:val="clear" w:color="auto" w:fill="BFBFBF"/>
            <w:noWrap/>
            <w:vAlign w:val="center"/>
            <w:hideMark/>
          </w:tcPr>
          <w:p w:rsidR="00753F5D" w:rsidRPr="00E0687F" w:rsidRDefault="00753F5D" w:rsidP="00753F5D">
            <w:pPr>
              <w:tabs>
                <w:tab w:val="left" w:pos="3119"/>
              </w:tabs>
              <w:spacing w:before="45" w:after="45"/>
              <w:jc w:val="center"/>
              <w:rPr>
                <w:b/>
                <w:sz w:val="20"/>
              </w:rPr>
            </w:pPr>
            <w:r w:rsidRPr="00E0687F">
              <w:rPr>
                <w:b/>
                <w:sz w:val="20"/>
              </w:rPr>
              <w:t>Deliberações Expedidas pelo TCU</w:t>
            </w:r>
          </w:p>
        </w:tc>
      </w:tr>
      <w:tr w:rsidR="00C257FD" w:rsidRPr="0070364F" w:rsidTr="00193B54">
        <w:trPr>
          <w:trHeight w:val="410"/>
        </w:trPr>
        <w:tc>
          <w:tcPr>
            <w:tcW w:w="474" w:type="pct"/>
            <w:shd w:val="clear" w:color="auto" w:fill="D9D9D9"/>
            <w:noWrap/>
            <w:vAlign w:val="center"/>
            <w:hideMark/>
          </w:tcPr>
          <w:p w:rsidR="00753F5D" w:rsidRPr="00E0687F" w:rsidRDefault="00753F5D" w:rsidP="00753F5D">
            <w:pPr>
              <w:tabs>
                <w:tab w:val="left" w:pos="3119"/>
              </w:tabs>
              <w:spacing w:before="45" w:after="45"/>
              <w:jc w:val="center"/>
              <w:rPr>
                <w:b/>
                <w:sz w:val="20"/>
              </w:rPr>
            </w:pPr>
            <w:r w:rsidRPr="00E0687F">
              <w:rPr>
                <w:b/>
                <w:sz w:val="20"/>
              </w:rPr>
              <w:t>Ordem</w:t>
            </w:r>
          </w:p>
        </w:tc>
        <w:tc>
          <w:tcPr>
            <w:tcW w:w="873" w:type="pct"/>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Processo</w:t>
            </w:r>
          </w:p>
        </w:tc>
        <w:tc>
          <w:tcPr>
            <w:tcW w:w="1133" w:type="pct"/>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Acórdão</w:t>
            </w:r>
          </w:p>
        </w:tc>
        <w:tc>
          <w:tcPr>
            <w:tcW w:w="436" w:type="pct"/>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Item</w:t>
            </w:r>
          </w:p>
        </w:tc>
        <w:tc>
          <w:tcPr>
            <w:tcW w:w="800" w:type="pct"/>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Tipo</w:t>
            </w:r>
          </w:p>
        </w:tc>
        <w:tc>
          <w:tcPr>
            <w:tcW w:w="1284" w:type="pct"/>
            <w:gridSpan w:val="2"/>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Comunicação Expedida</w:t>
            </w:r>
          </w:p>
        </w:tc>
      </w:tr>
      <w:tr w:rsidR="00753F5D" w:rsidRPr="0070364F" w:rsidTr="00193B54">
        <w:trPr>
          <w:trHeight w:val="410"/>
        </w:trPr>
        <w:tc>
          <w:tcPr>
            <w:tcW w:w="474" w:type="pct"/>
            <w:shd w:val="clear" w:color="auto" w:fill="auto"/>
            <w:noWrap/>
            <w:vAlign w:val="center"/>
            <w:hideMark/>
          </w:tcPr>
          <w:p w:rsidR="00753F5D" w:rsidRPr="00E0687F" w:rsidRDefault="00733078" w:rsidP="00753F5D">
            <w:pPr>
              <w:tabs>
                <w:tab w:val="left" w:pos="3119"/>
              </w:tabs>
              <w:spacing w:before="45" w:after="45"/>
              <w:jc w:val="center"/>
              <w:rPr>
                <w:sz w:val="20"/>
              </w:rPr>
            </w:pPr>
            <w:proofErr w:type="gramStart"/>
            <w:r w:rsidRPr="00E0687F">
              <w:rPr>
                <w:sz w:val="20"/>
              </w:rPr>
              <w:t>1</w:t>
            </w:r>
            <w:proofErr w:type="gramEnd"/>
          </w:p>
        </w:tc>
        <w:tc>
          <w:tcPr>
            <w:tcW w:w="873" w:type="pct"/>
            <w:shd w:val="clear" w:color="auto" w:fill="auto"/>
            <w:vAlign w:val="center"/>
          </w:tcPr>
          <w:p w:rsidR="00753F5D" w:rsidRPr="00E0687F" w:rsidRDefault="00EE150E" w:rsidP="00753F5D">
            <w:pPr>
              <w:tabs>
                <w:tab w:val="left" w:pos="3119"/>
              </w:tabs>
              <w:spacing w:before="45" w:after="45"/>
              <w:jc w:val="center"/>
              <w:rPr>
                <w:sz w:val="20"/>
              </w:rPr>
            </w:pPr>
            <w:r w:rsidRPr="00E0687F">
              <w:rPr>
                <w:sz w:val="20"/>
              </w:rPr>
              <w:t>035.004/2012-6</w:t>
            </w:r>
          </w:p>
        </w:tc>
        <w:tc>
          <w:tcPr>
            <w:tcW w:w="1133" w:type="pct"/>
            <w:shd w:val="clear" w:color="auto" w:fill="auto"/>
            <w:vAlign w:val="center"/>
          </w:tcPr>
          <w:p w:rsidR="00753F5D" w:rsidRPr="00E0687F" w:rsidRDefault="008A28B7" w:rsidP="00753F5D">
            <w:pPr>
              <w:tabs>
                <w:tab w:val="left" w:pos="3119"/>
              </w:tabs>
              <w:spacing w:before="45" w:after="45"/>
              <w:jc w:val="center"/>
              <w:rPr>
                <w:sz w:val="20"/>
              </w:rPr>
            </w:pPr>
            <w:r w:rsidRPr="00E0687F">
              <w:rPr>
                <w:sz w:val="20"/>
                <w:szCs w:val="20"/>
              </w:rPr>
              <w:t>Acórdão Nº 39/2013 –TCU - Plenário</w:t>
            </w:r>
          </w:p>
        </w:tc>
        <w:tc>
          <w:tcPr>
            <w:tcW w:w="436" w:type="pct"/>
            <w:shd w:val="clear" w:color="auto" w:fill="auto"/>
            <w:vAlign w:val="center"/>
          </w:tcPr>
          <w:p w:rsidR="008A28B7" w:rsidRPr="00E0687F" w:rsidRDefault="008A28B7" w:rsidP="008A28B7">
            <w:pPr>
              <w:tabs>
                <w:tab w:val="left" w:pos="3119"/>
              </w:tabs>
              <w:spacing w:after="0"/>
              <w:jc w:val="center"/>
              <w:rPr>
                <w:sz w:val="20"/>
                <w:szCs w:val="20"/>
              </w:rPr>
            </w:pPr>
            <w:r w:rsidRPr="00E0687F">
              <w:rPr>
                <w:sz w:val="20"/>
                <w:szCs w:val="20"/>
              </w:rPr>
              <w:t>9.1</w:t>
            </w:r>
          </w:p>
          <w:p w:rsidR="00753F5D" w:rsidRPr="00E0687F" w:rsidRDefault="008A28B7" w:rsidP="008A28B7">
            <w:pPr>
              <w:tabs>
                <w:tab w:val="left" w:pos="3119"/>
              </w:tabs>
              <w:spacing w:before="45" w:after="45"/>
              <w:jc w:val="center"/>
              <w:rPr>
                <w:sz w:val="20"/>
              </w:rPr>
            </w:pPr>
            <w:r w:rsidRPr="00E0687F">
              <w:rPr>
                <w:sz w:val="20"/>
                <w:szCs w:val="20"/>
              </w:rPr>
              <w:t>9.2</w:t>
            </w:r>
          </w:p>
        </w:tc>
        <w:tc>
          <w:tcPr>
            <w:tcW w:w="800" w:type="pct"/>
            <w:shd w:val="clear" w:color="auto" w:fill="auto"/>
            <w:vAlign w:val="center"/>
          </w:tcPr>
          <w:p w:rsidR="00753F5D" w:rsidRPr="00E0687F" w:rsidRDefault="008A28B7" w:rsidP="00753F5D">
            <w:pPr>
              <w:tabs>
                <w:tab w:val="left" w:pos="3119"/>
              </w:tabs>
              <w:spacing w:before="45" w:after="45"/>
              <w:jc w:val="center"/>
              <w:rPr>
                <w:sz w:val="20"/>
              </w:rPr>
            </w:pPr>
            <w:r w:rsidRPr="00E0687F">
              <w:rPr>
                <w:sz w:val="20"/>
                <w:szCs w:val="20"/>
              </w:rPr>
              <w:t>Determinação</w:t>
            </w:r>
          </w:p>
        </w:tc>
        <w:tc>
          <w:tcPr>
            <w:tcW w:w="1284" w:type="pct"/>
            <w:gridSpan w:val="2"/>
            <w:shd w:val="clear" w:color="auto" w:fill="auto"/>
            <w:vAlign w:val="center"/>
          </w:tcPr>
          <w:p w:rsidR="008A28B7" w:rsidRPr="00E0687F" w:rsidRDefault="008A28B7" w:rsidP="008A28B7">
            <w:pPr>
              <w:tabs>
                <w:tab w:val="left" w:pos="3119"/>
              </w:tabs>
              <w:spacing w:after="0"/>
              <w:rPr>
                <w:sz w:val="20"/>
                <w:szCs w:val="20"/>
              </w:rPr>
            </w:pPr>
            <w:r w:rsidRPr="00E0687F">
              <w:rPr>
                <w:sz w:val="20"/>
                <w:szCs w:val="20"/>
              </w:rPr>
              <w:t>Oficio 0210/2013-TCU/SECEX-AM</w:t>
            </w:r>
          </w:p>
          <w:p w:rsidR="008A28B7" w:rsidRPr="00E0687F" w:rsidRDefault="008A28B7" w:rsidP="008A28B7">
            <w:pPr>
              <w:tabs>
                <w:tab w:val="left" w:pos="3119"/>
              </w:tabs>
              <w:spacing w:after="0"/>
              <w:rPr>
                <w:sz w:val="20"/>
                <w:szCs w:val="20"/>
              </w:rPr>
            </w:pPr>
            <w:r w:rsidRPr="00E0687F">
              <w:rPr>
                <w:sz w:val="20"/>
                <w:szCs w:val="20"/>
              </w:rPr>
              <w:t>Oficio 045/2012-GAB/SECEX-AM</w:t>
            </w:r>
          </w:p>
          <w:p w:rsidR="008A28B7" w:rsidRPr="00E0687F" w:rsidRDefault="008A28B7" w:rsidP="008A28B7">
            <w:pPr>
              <w:tabs>
                <w:tab w:val="left" w:pos="3119"/>
              </w:tabs>
              <w:spacing w:after="0"/>
              <w:rPr>
                <w:sz w:val="20"/>
                <w:szCs w:val="20"/>
              </w:rPr>
            </w:pPr>
            <w:r w:rsidRPr="00E0687F">
              <w:rPr>
                <w:sz w:val="20"/>
                <w:szCs w:val="20"/>
              </w:rPr>
              <w:t>Oficio de Requisição Nº 418/2012-1/SECEX-AM</w:t>
            </w:r>
          </w:p>
          <w:p w:rsidR="00753F5D" w:rsidRPr="00E0687F" w:rsidRDefault="008A28B7" w:rsidP="008A28B7">
            <w:pPr>
              <w:tabs>
                <w:tab w:val="left" w:pos="3119"/>
              </w:tabs>
              <w:spacing w:before="45" w:after="45"/>
              <w:jc w:val="center"/>
              <w:rPr>
                <w:sz w:val="20"/>
              </w:rPr>
            </w:pPr>
            <w:r w:rsidRPr="00E0687F">
              <w:rPr>
                <w:sz w:val="20"/>
                <w:szCs w:val="20"/>
              </w:rPr>
              <w:t>Oficio de Requisição Nº 1166/2012-5/SECEX-AM</w:t>
            </w:r>
          </w:p>
        </w:tc>
      </w:tr>
      <w:tr w:rsidR="00753F5D" w:rsidRPr="0070364F" w:rsidTr="00193B54">
        <w:trPr>
          <w:trHeight w:val="410"/>
        </w:trPr>
        <w:tc>
          <w:tcPr>
            <w:tcW w:w="4106" w:type="pct"/>
            <w:gridSpan w:val="6"/>
            <w:shd w:val="clear" w:color="auto" w:fill="D9D9D9"/>
            <w:noWrap/>
            <w:vAlign w:val="center"/>
            <w:hideMark/>
          </w:tcPr>
          <w:p w:rsidR="00753F5D" w:rsidRPr="00E0687F" w:rsidRDefault="00753F5D" w:rsidP="00753F5D">
            <w:pPr>
              <w:tabs>
                <w:tab w:val="left" w:pos="3119"/>
              </w:tabs>
              <w:spacing w:before="45" w:after="45"/>
              <w:jc w:val="both"/>
              <w:rPr>
                <w:b/>
                <w:sz w:val="20"/>
              </w:rPr>
            </w:pPr>
            <w:r w:rsidRPr="00E0687F">
              <w:rPr>
                <w:b/>
                <w:sz w:val="20"/>
              </w:rPr>
              <w:t>Órgão/Entidade Objeto da Determinação e/ou Recomendação</w:t>
            </w:r>
          </w:p>
        </w:tc>
        <w:tc>
          <w:tcPr>
            <w:tcW w:w="894" w:type="pct"/>
            <w:shd w:val="clear" w:color="auto" w:fill="D9D9D9"/>
            <w:vAlign w:val="center"/>
          </w:tcPr>
          <w:p w:rsidR="00753F5D" w:rsidRPr="00E0687F" w:rsidRDefault="00753F5D" w:rsidP="00753F5D">
            <w:pPr>
              <w:tabs>
                <w:tab w:val="left" w:pos="3119"/>
              </w:tabs>
              <w:spacing w:before="45" w:after="45"/>
              <w:jc w:val="center"/>
              <w:rPr>
                <w:b/>
                <w:sz w:val="20"/>
              </w:rPr>
            </w:pPr>
            <w:r w:rsidRPr="00E0687F">
              <w:rPr>
                <w:b/>
                <w:sz w:val="20"/>
              </w:rPr>
              <w:t>Código SIORG</w:t>
            </w:r>
          </w:p>
        </w:tc>
      </w:tr>
      <w:tr w:rsidR="00753F5D" w:rsidRPr="0070364F" w:rsidTr="00193B54">
        <w:trPr>
          <w:trHeight w:val="410"/>
        </w:trPr>
        <w:tc>
          <w:tcPr>
            <w:tcW w:w="4106" w:type="pct"/>
            <w:gridSpan w:val="6"/>
            <w:shd w:val="clear" w:color="auto" w:fill="FFFFFF"/>
            <w:noWrap/>
            <w:vAlign w:val="center"/>
            <w:hideMark/>
          </w:tcPr>
          <w:p w:rsidR="00753F5D" w:rsidRPr="00E0687F" w:rsidRDefault="008A28B7" w:rsidP="008A28B7">
            <w:pPr>
              <w:tabs>
                <w:tab w:val="left" w:pos="3119"/>
              </w:tabs>
              <w:spacing w:before="45" w:after="45"/>
              <w:rPr>
                <w:b/>
                <w:sz w:val="20"/>
              </w:rPr>
            </w:pPr>
            <w:r w:rsidRPr="00E0687F">
              <w:rPr>
                <w:sz w:val="20"/>
                <w:szCs w:val="20"/>
              </w:rPr>
              <w:t>IFAM – REITORIA E CAMPI</w:t>
            </w:r>
            <w:bookmarkStart w:id="0" w:name="_GoBack"/>
            <w:bookmarkEnd w:id="0"/>
          </w:p>
        </w:tc>
        <w:tc>
          <w:tcPr>
            <w:tcW w:w="894" w:type="pct"/>
            <w:shd w:val="clear" w:color="auto" w:fill="FFFFFF"/>
            <w:vAlign w:val="center"/>
          </w:tcPr>
          <w:p w:rsidR="00753F5D" w:rsidRPr="00E0687F" w:rsidRDefault="008A28B7" w:rsidP="00753F5D">
            <w:pPr>
              <w:tabs>
                <w:tab w:val="left" w:pos="3119"/>
              </w:tabs>
              <w:spacing w:before="45" w:after="45"/>
              <w:jc w:val="center"/>
              <w:rPr>
                <w:b/>
                <w:sz w:val="20"/>
              </w:rPr>
            </w:pPr>
            <w:r w:rsidRPr="00E0687F">
              <w:rPr>
                <w:b/>
                <w:sz w:val="20"/>
                <w:szCs w:val="20"/>
              </w:rPr>
              <w:t>100910</w:t>
            </w:r>
          </w:p>
        </w:tc>
      </w:tr>
      <w:tr w:rsidR="00753F5D" w:rsidRPr="0070364F" w:rsidTr="00753F5D">
        <w:trPr>
          <w:trHeight w:val="410"/>
        </w:trPr>
        <w:tc>
          <w:tcPr>
            <w:tcW w:w="5000" w:type="pct"/>
            <w:gridSpan w:val="7"/>
            <w:shd w:val="clear" w:color="auto" w:fill="D9D9D9"/>
            <w:noWrap/>
            <w:vAlign w:val="bottom"/>
            <w:hideMark/>
          </w:tcPr>
          <w:p w:rsidR="00753F5D" w:rsidRPr="00E0687F" w:rsidRDefault="00753F5D" w:rsidP="00753F5D">
            <w:pPr>
              <w:tabs>
                <w:tab w:val="left" w:pos="3119"/>
              </w:tabs>
              <w:spacing w:before="45" w:after="45"/>
              <w:jc w:val="both"/>
              <w:rPr>
                <w:b/>
                <w:sz w:val="20"/>
              </w:rPr>
            </w:pPr>
            <w:r w:rsidRPr="00E0687F">
              <w:rPr>
                <w:b/>
                <w:sz w:val="20"/>
              </w:rPr>
              <w:t>Descrição da Deliberação</w:t>
            </w:r>
          </w:p>
        </w:tc>
      </w:tr>
      <w:tr w:rsidR="00753F5D" w:rsidRPr="0070364F" w:rsidTr="00753F5D">
        <w:trPr>
          <w:trHeight w:val="410"/>
        </w:trPr>
        <w:tc>
          <w:tcPr>
            <w:tcW w:w="5000" w:type="pct"/>
            <w:gridSpan w:val="7"/>
            <w:shd w:val="clear" w:color="auto" w:fill="auto"/>
            <w:noWrap/>
            <w:vAlign w:val="bottom"/>
            <w:hideMark/>
          </w:tcPr>
          <w:p w:rsidR="008A28B7" w:rsidRPr="00E0687F" w:rsidRDefault="008A28B7" w:rsidP="008A28B7">
            <w:pPr>
              <w:tabs>
                <w:tab w:val="left" w:pos="3119"/>
              </w:tabs>
              <w:spacing w:after="0"/>
              <w:jc w:val="both"/>
              <w:rPr>
                <w:sz w:val="20"/>
                <w:szCs w:val="20"/>
              </w:rPr>
            </w:pPr>
            <w:r w:rsidRPr="00E0687F">
              <w:rPr>
                <w:sz w:val="20"/>
                <w:szCs w:val="20"/>
              </w:rPr>
              <w:t xml:space="preserve">9.1. </w:t>
            </w:r>
            <w:proofErr w:type="gramStart"/>
            <w:r w:rsidRPr="00E0687F">
              <w:rPr>
                <w:sz w:val="20"/>
                <w:szCs w:val="20"/>
              </w:rPr>
              <w:t>determinar</w:t>
            </w:r>
            <w:proofErr w:type="gramEnd"/>
            <w:r w:rsidRPr="00E0687F">
              <w:rPr>
                <w:sz w:val="20"/>
                <w:szCs w:val="20"/>
              </w:rPr>
              <w:t xml:space="preserve">, com fundamento no art. 43, inciso I, da Lei nº 8.443/1992, c/c o art. 250, II, do Regimento Interno do TCU, ao Instituto Federal de Educação, Ciência e Tecnologia do Amazonas que, no prazo de 90 (noventa) dias: </w:t>
            </w:r>
          </w:p>
          <w:p w:rsidR="008A28B7" w:rsidRPr="00E0687F" w:rsidRDefault="008A28B7" w:rsidP="008A28B7">
            <w:pPr>
              <w:tabs>
                <w:tab w:val="left" w:pos="3119"/>
              </w:tabs>
              <w:spacing w:after="0"/>
              <w:jc w:val="both"/>
              <w:rPr>
                <w:sz w:val="20"/>
                <w:szCs w:val="20"/>
              </w:rPr>
            </w:pPr>
            <w:r w:rsidRPr="00E0687F">
              <w:rPr>
                <w:sz w:val="20"/>
                <w:szCs w:val="20"/>
              </w:rPr>
              <w:t xml:space="preserve">9.1.1. </w:t>
            </w:r>
            <w:proofErr w:type="gramStart"/>
            <w:r w:rsidRPr="00E0687F">
              <w:rPr>
                <w:sz w:val="20"/>
                <w:szCs w:val="20"/>
              </w:rPr>
              <w:t>verifique</w:t>
            </w:r>
            <w:proofErr w:type="gramEnd"/>
            <w:r w:rsidRPr="00E0687F">
              <w:rPr>
                <w:sz w:val="20"/>
                <w:szCs w:val="20"/>
              </w:rPr>
              <w:t xml:space="preserve"> a compatibilidade de horários e se não há prejuízo às atividades exercidas pelos servidores relacionados no item 7.1 do Anexo do Relatório de Auditoria, uma vez que os mesmos são ocupantes também de empregos privados, com jornada total superior a 60 (sessenta) horas semanais; </w:t>
            </w:r>
          </w:p>
          <w:p w:rsidR="008A28B7" w:rsidRPr="00E0687F" w:rsidRDefault="008A28B7" w:rsidP="008A28B7">
            <w:pPr>
              <w:tabs>
                <w:tab w:val="left" w:pos="3119"/>
              </w:tabs>
              <w:spacing w:after="0"/>
              <w:jc w:val="both"/>
              <w:rPr>
                <w:sz w:val="20"/>
                <w:szCs w:val="20"/>
              </w:rPr>
            </w:pPr>
            <w:r w:rsidRPr="00E0687F">
              <w:rPr>
                <w:sz w:val="20"/>
                <w:szCs w:val="20"/>
              </w:rPr>
              <w:t xml:space="preserve">9.1.1.1. </w:t>
            </w:r>
            <w:proofErr w:type="gramStart"/>
            <w:r w:rsidRPr="00E0687F">
              <w:rPr>
                <w:sz w:val="20"/>
                <w:szCs w:val="20"/>
              </w:rPr>
              <w:t>na</w:t>
            </w:r>
            <w:proofErr w:type="gramEnd"/>
            <w:r w:rsidRPr="00E0687F">
              <w:rPr>
                <w:sz w:val="20"/>
                <w:szCs w:val="20"/>
              </w:rPr>
              <w:t xml:space="preserve"> hipótese de se concluir, excepcionalmente, pela licitude da situação, fundamentar devidamente a decisão, anexando no respectivo processo a devida documentação comprobatória e indicando expressamente o responsável pela medida adotada; </w:t>
            </w:r>
          </w:p>
          <w:p w:rsidR="008A28B7" w:rsidRPr="00E0687F" w:rsidRDefault="008A28B7" w:rsidP="008A28B7">
            <w:pPr>
              <w:tabs>
                <w:tab w:val="left" w:pos="3119"/>
              </w:tabs>
              <w:spacing w:after="0"/>
              <w:jc w:val="both"/>
              <w:rPr>
                <w:sz w:val="20"/>
                <w:szCs w:val="20"/>
              </w:rPr>
            </w:pPr>
            <w:r w:rsidRPr="00E0687F">
              <w:rPr>
                <w:sz w:val="20"/>
                <w:szCs w:val="20"/>
              </w:rPr>
              <w:t xml:space="preserve">9.1.2. </w:t>
            </w:r>
            <w:proofErr w:type="gramStart"/>
            <w:r w:rsidRPr="00E0687F">
              <w:rPr>
                <w:sz w:val="20"/>
                <w:szCs w:val="20"/>
              </w:rPr>
              <w:t>adote</w:t>
            </w:r>
            <w:proofErr w:type="gramEnd"/>
            <w:r w:rsidRPr="00E0687F">
              <w:rPr>
                <w:sz w:val="20"/>
                <w:szCs w:val="20"/>
              </w:rPr>
              <w:t xml:space="preserve"> medidas no sentido de instaurar, nos termos do art. 133 da Lei nº 8.112/1990, o devido processo legal visando à regularização das acumulações ilícitas dos servidores listados nos itens 7.2, 7.3, </w:t>
            </w:r>
          </w:p>
          <w:p w:rsidR="00753F5D" w:rsidRPr="00E0687F" w:rsidRDefault="008A28B7" w:rsidP="008A28B7">
            <w:pPr>
              <w:tabs>
                <w:tab w:val="left" w:pos="3119"/>
              </w:tabs>
              <w:spacing w:before="45" w:after="45"/>
              <w:jc w:val="both"/>
              <w:rPr>
                <w:sz w:val="20"/>
              </w:rPr>
            </w:pPr>
            <w:r w:rsidRPr="00E0687F">
              <w:rPr>
                <w:sz w:val="20"/>
                <w:szCs w:val="20"/>
              </w:rPr>
              <w:t>7.4 e 7.5 do Anexo do Relatório de Auditoria, tendo em vista que foram detectados tanto casos de acumulação de cargos em desacordo com o previsto no inciso XVI do art. 37 da Constituição Federal, como também infração ao regime de dedicação exclusiva;</w:t>
            </w:r>
          </w:p>
        </w:tc>
      </w:tr>
      <w:tr w:rsidR="00753F5D" w:rsidRPr="0070364F" w:rsidTr="00753F5D">
        <w:trPr>
          <w:trHeight w:val="410"/>
        </w:trPr>
        <w:tc>
          <w:tcPr>
            <w:tcW w:w="5000" w:type="pct"/>
            <w:gridSpan w:val="7"/>
            <w:shd w:val="clear" w:color="auto" w:fill="BFBFBF"/>
            <w:noWrap/>
            <w:vAlign w:val="bottom"/>
            <w:hideMark/>
          </w:tcPr>
          <w:p w:rsidR="00753F5D" w:rsidRPr="00E0687F" w:rsidRDefault="00753F5D" w:rsidP="00753F5D">
            <w:pPr>
              <w:tabs>
                <w:tab w:val="left" w:pos="3119"/>
              </w:tabs>
              <w:spacing w:before="45" w:after="45"/>
              <w:jc w:val="center"/>
              <w:rPr>
                <w:b/>
                <w:sz w:val="20"/>
              </w:rPr>
            </w:pPr>
            <w:r w:rsidRPr="00E0687F">
              <w:rPr>
                <w:b/>
                <w:sz w:val="20"/>
              </w:rPr>
              <w:t>Justificativa Apresentada pelo seu não Cumprimento</w:t>
            </w:r>
          </w:p>
        </w:tc>
      </w:tr>
      <w:tr w:rsidR="00753F5D" w:rsidRPr="0070364F" w:rsidTr="00193B54">
        <w:trPr>
          <w:trHeight w:val="410"/>
        </w:trPr>
        <w:tc>
          <w:tcPr>
            <w:tcW w:w="4106" w:type="pct"/>
            <w:gridSpan w:val="6"/>
            <w:shd w:val="clear" w:color="auto" w:fill="D9D9D9"/>
            <w:noWrap/>
            <w:vAlign w:val="bottom"/>
            <w:hideMark/>
          </w:tcPr>
          <w:p w:rsidR="00753F5D" w:rsidRPr="00E0687F" w:rsidRDefault="00753F5D" w:rsidP="00753F5D">
            <w:pPr>
              <w:tabs>
                <w:tab w:val="left" w:pos="3119"/>
              </w:tabs>
              <w:spacing w:before="45" w:after="45"/>
              <w:jc w:val="both"/>
              <w:rPr>
                <w:b/>
                <w:sz w:val="20"/>
              </w:rPr>
            </w:pPr>
            <w:r w:rsidRPr="00E0687F">
              <w:rPr>
                <w:b/>
                <w:sz w:val="20"/>
              </w:rPr>
              <w:t xml:space="preserve">Setor Responsável pela </w:t>
            </w:r>
            <w:proofErr w:type="gramStart"/>
            <w:r w:rsidRPr="00E0687F">
              <w:rPr>
                <w:b/>
                <w:sz w:val="20"/>
              </w:rPr>
              <w:t>Implementação</w:t>
            </w:r>
            <w:proofErr w:type="gramEnd"/>
          </w:p>
        </w:tc>
        <w:tc>
          <w:tcPr>
            <w:tcW w:w="894" w:type="pct"/>
            <w:shd w:val="clear" w:color="auto" w:fill="D9D9D9"/>
            <w:vAlign w:val="bottom"/>
          </w:tcPr>
          <w:p w:rsidR="00753F5D" w:rsidRPr="00E0687F" w:rsidRDefault="00753F5D" w:rsidP="00753F5D">
            <w:pPr>
              <w:tabs>
                <w:tab w:val="left" w:pos="3119"/>
              </w:tabs>
              <w:spacing w:before="45" w:after="45"/>
              <w:jc w:val="center"/>
              <w:rPr>
                <w:b/>
                <w:sz w:val="20"/>
              </w:rPr>
            </w:pPr>
            <w:r w:rsidRPr="00E0687F">
              <w:rPr>
                <w:b/>
                <w:sz w:val="20"/>
              </w:rPr>
              <w:t>Código SIORG</w:t>
            </w:r>
          </w:p>
        </w:tc>
      </w:tr>
      <w:tr w:rsidR="00753F5D" w:rsidRPr="0070364F" w:rsidTr="00193B54">
        <w:trPr>
          <w:trHeight w:val="410"/>
        </w:trPr>
        <w:tc>
          <w:tcPr>
            <w:tcW w:w="4106" w:type="pct"/>
            <w:gridSpan w:val="6"/>
            <w:shd w:val="clear" w:color="auto" w:fill="F2F2F2"/>
            <w:noWrap/>
            <w:vAlign w:val="bottom"/>
            <w:hideMark/>
          </w:tcPr>
          <w:p w:rsidR="008A28B7" w:rsidRPr="00E0687F" w:rsidRDefault="008A28B7" w:rsidP="008A28B7">
            <w:pPr>
              <w:tabs>
                <w:tab w:val="left" w:pos="3119"/>
              </w:tabs>
              <w:spacing w:after="0"/>
              <w:jc w:val="both"/>
              <w:rPr>
                <w:sz w:val="20"/>
                <w:szCs w:val="20"/>
              </w:rPr>
            </w:pPr>
            <w:r w:rsidRPr="00E0687F">
              <w:rPr>
                <w:sz w:val="20"/>
                <w:szCs w:val="20"/>
              </w:rPr>
              <w:t>REITORIA / GABINETE / UNIDADE DE CORREIÇÃO</w:t>
            </w:r>
          </w:p>
          <w:p w:rsidR="00753F5D" w:rsidRPr="00E0687F" w:rsidRDefault="008A28B7" w:rsidP="008A28B7">
            <w:pPr>
              <w:tabs>
                <w:tab w:val="left" w:pos="3119"/>
              </w:tabs>
              <w:spacing w:after="0"/>
              <w:jc w:val="both"/>
              <w:rPr>
                <w:sz w:val="20"/>
                <w:szCs w:val="20"/>
              </w:rPr>
            </w:pPr>
            <w:r w:rsidRPr="00E0687F">
              <w:rPr>
                <w:sz w:val="20"/>
                <w:szCs w:val="20"/>
              </w:rPr>
              <w:t>PROAD / Diretoria de Gestão de Pessoas</w:t>
            </w:r>
          </w:p>
        </w:tc>
        <w:tc>
          <w:tcPr>
            <w:tcW w:w="894" w:type="pct"/>
            <w:shd w:val="clear" w:color="auto" w:fill="F2F2F2"/>
            <w:vAlign w:val="bottom"/>
          </w:tcPr>
          <w:p w:rsidR="00753F5D" w:rsidRPr="00E0687F" w:rsidRDefault="00753F5D" w:rsidP="00753F5D">
            <w:pPr>
              <w:tabs>
                <w:tab w:val="left" w:pos="3119"/>
              </w:tabs>
              <w:spacing w:before="45" w:after="45"/>
              <w:jc w:val="both"/>
              <w:rPr>
                <w:sz w:val="20"/>
              </w:rPr>
            </w:pPr>
          </w:p>
        </w:tc>
      </w:tr>
      <w:tr w:rsidR="00753F5D" w:rsidRPr="0070364F" w:rsidTr="00753F5D">
        <w:trPr>
          <w:trHeight w:val="410"/>
        </w:trPr>
        <w:tc>
          <w:tcPr>
            <w:tcW w:w="5000" w:type="pct"/>
            <w:gridSpan w:val="7"/>
            <w:shd w:val="clear" w:color="auto" w:fill="D9D9D9"/>
            <w:noWrap/>
            <w:vAlign w:val="bottom"/>
            <w:hideMark/>
          </w:tcPr>
          <w:p w:rsidR="00753F5D" w:rsidRPr="00E0687F" w:rsidRDefault="00753F5D" w:rsidP="00753F5D">
            <w:pPr>
              <w:tabs>
                <w:tab w:val="left" w:pos="3119"/>
              </w:tabs>
              <w:spacing w:before="45" w:after="45"/>
              <w:jc w:val="both"/>
              <w:rPr>
                <w:sz w:val="20"/>
              </w:rPr>
            </w:pPr>
            <w:r w:rsidRPr="00E0687F">
              <w:rPr>
                <w:b/>
                <w:sz w:val="20"/>
              </w:rPr>
              <w:t>Justificativa para o seu não Cumprimento:</w:t>
            </w:r>
            <w:r w:rsidRPr="00E0687F">
              <w:rPr>
                <w:sz w:val="20"/>
              </w:rPr>
              <w:t xml:space="preserve"> </w:t>
            </w:r>
          </w:p>
        </w:tc>
      </w:tr>
      <w:tr w:rsidR="00753F5D" w:rsidRPr="0070364F" w:rsidTr="00753F5D">
        <w:trPr>
          <w:trHeight w:val="410"/>
        </w:trPr>
        <w:tc>
          <w:tcPr>
            <w:tcW w:w="5000" w:type="pct"/>
            <w:gridSpan w:val="7"/>
            <w:shd w:val="clear" w:color="auto" w:fill="auto"/>
            <w:noWrap/>
            <w:vAlign w:val="bottom"/>
            <w:hideMark/>
          </w:tcPr>
          <w:p w:rsidR="00293A13" w:rsidRPr="00E0687F" w:rsidRDefault="00C257FD" w:rsidP="0028652E">
            <w:pPr>
              <w:tabs>
                <w:tab w:val="left" w:pos="3119"/>
              </w:tabs>
              <w:jc w:val="both"/>
              <w:rPr>
                <w:rFonts w:asciiTheme="majorHAnsi" w:hAnsiTheme="majorHAnsi"/>
                <w:i/>
                <w:sz w:val="20"/>
              </w:rPr>
            </w:pPr>
            <w:r w:rsidRPr="00E0687F">
              <w:rPr>
                <w:rFonts w:asciiTheme="majorHAnsi" w:hAnsiTheme="majorHAnsi"/>
                <w:i/>
                <w:sz w:val="20"/>
              </w:rPr>
              <w:t xml:space="preserve">À priori, com o respeito e acatamento devidos, referentes à demanda do ACÓRDÃO 039/2013 – TCU – Plenário. Mediante a publicação da PORTARIA Nº 400-GR/IFAM, de 20/03/2013, no DOU nº 56, de 22/03/2013, foi instaurado o Processo Administrativo Disciplinar (rito ordinário), com o fito de apurar, solucionar os duplos vínculos, bem como responsabilizar pecuniária e disciplinarmente aqueles que causaram danos ao erário. </w:t>
            </w:r>
            <w:r w:rsidR="008C0EC9" w:rsidRPr="00E0687F">
              <w:rPr>
                <w:rFonts w:asciiTheme="majorHAnsi" w:hAnsiTheme="majorHAnsi"/>
                <w:i/>
                <w:sz w:val="20"/>
              </w:rPr>
              <w:t>E na tentativa de dar sequência aos trabalhos iniciados, sucederam</w:t>
            </w:r>
            <w:r w:rsidR="00467278" w:rsidRPr="00E0687F">
              <w:rPr>
                <w:rFonts w:asciiTheme="majorHAnsi" w:hAnsiTheme="majorHAnsi"/>
                <w:i/>
                <w:sz w:val="20"/>
              </w:rPr>
              <w:t xml:space="preserve"> </w:t>
            </w:r>
            <w:proofErr w:type="gramStart"/>
            <w:r w:rsidR="00467278" w:rsidRPr="00E0687F">
              <w:rPr>
                <w:rFonts w:asciiTheme="majorHAnsi" w:hAnsiTheme="majorHAnsi"/>
                <w:i/>
                <w:sz w:val="20"/>
              </w:rPr>
              <w:t>à</w:t>
            </w:r>
            <w:proofErr w:type="gramEnd"/>
            <w:r w:rsidR="008C0EC9" w:rsidRPr="00E0687F">
              <w:rPr>
                <w:rFonts w:asciiTheme="majorHAnsi" w:hAnsiTheme="majorHAnsi"/>
                <w:i/>
                <w:sz w:val="20"/>
              </w:rPr>
              <w:t xml:space="preserve"> inaugural a PORTARIA Nº 930-GR/IFAM, de 02/07/2013 (DOU nº 126), PORTARIA Nº 1.168-GR/IFAM, de 02/09/2013 (DOU nº 169), PORTARIA Nº 1.147-GR/IFAM, de 01/11/2013 (DOU nº 216)</w:t>
            </w:r>
            <w:r w:rsidR="00467278" w:rsidRPr="00E0687F">
              <w:rPr>
                <w:rFonts w:asciiTheme="majorHAnsi" w:hAnsiTheme="majorHAnsi"/>
                <w:i/>
                <w:sz w:val="20"/>
              </w:rPr>
              <w:t xml:space="preserve"> e PORTARIA Nº 734-GR/IFAM, de 07/05/2014 (DOU nº 86). </w:t>
            </w:r>
          </w:p>
          <w:p w:rsidR="00D356FB" w:rsidRPr="00E0687F" w:rsidRDefault="0028652E" w:rsidP="00D356FB">
            <w:pPr>
              <w:tabs>
                <w:tab w:val="left" w:pos="3119"/>
              </w:tabs>
              <w:jc w:val="both"/>
              <w:rPr>
                <w:rFonts w:asciiTheme="majorHAnsi" w:hAnsiTheme="majorHAnsi"/>
                <w:i/>
                <w:sz w:val="20"/>
              </w:rPr>
            </w:pPr>
            <w:r w:rsidRPr="00E0687F">
              <w:rPr>
                <w:rFonts w:asciiTheme="majorHAnsi" w:hAnsiTheme="majorHAnsi"/>
                <w:i/>
                <w:sz w:val="20"/>
              </w:rPr>
              <w:t>Em vista do exposto, bem como em decorrência da d</w:t>
            </w:r>
            <w:r w:rsidR="00293A13" w:rsidRPr="00E0687F">
              <w:rPr>
                <w:rFonts w:asciiTheme="majorHAnsi" w:hAnsiTheme="majorHAnsi"/>
                <w:i/>
                <w:sz w:val="20"/>
              </w:rPr>
              <w:t>iligência</w:t>
            </w:r>
            <w:r w:rsidRPr="00E0687F">
              <w:rPr>
                <w:rFonts w:asciiTheme="majorHAnsi" w:hAnsiTheme="majorHAnsi"/>
                <w:i/>
                <w:sz w:val="20"/>
              </w:rPr>
              <w:t xml:space="preserve"> </w:t>
            </w:r>
            <w:r w:rsidR="00293A13" w:rsidRPr="00E0687F">
              <w:rPr>
                <w:rFonts w:asciiTheme="majorHAnsi" w:hAnsiTheme="majorHAnsi"/>
                <w:i/>
                <w:sz w:val="20"/>
              </w:rPr>
              <w:t xml:space="preserve">encaminhada através do OFÍCIO Nº 0103/2015-TCU/SECEX-AM, de 27 de janeiro de 2015, mediante reunião com as partes envolvidas, foi </w:t>
            </w:r>
            <w:r w:rsidR="00293A13" w:rsidRPr="00E0687F">
              <w:rPr>
                <w:rFonts w:asciiTheme="majorHAnsi" w:hAnsiTheme="majorHAnsi"/>
                <w:i/>
                <w:sz w:val="20"/>
              </w:rPr>
              <w:lastRenderedPageBreak/>
              <w:t>deliberado que a DGP deveria promover as notificações pertinentes aos servidores listados no referido Acórdão para apresentarem documentação probatória da compatibilidade de horários</w:t>
            </w:r>
            <w:r w:rsidR="00D356FB" w:rsidRPr="00E0687F">
              <w:rPr>
                <w:rFonts w:asciiTheme="majorHAnsi" w:hAnsiTheme="majorHAnsi"/>
                <w:i/>
                <w:sz w:val="20"/>
              </w:rPr>
              <w:t xml:space="preserve"> em prazo legal estipulado, bem como a abertura de processos individualizados para os casos de responsabilização pecuniária e disciplinar conforme ordenamento legal nos casos de violação da vedação do regime de Dedicação Exclusiva e, ainda, instauração de PAD com relação ao exercício irregular de gerência de empresa privada com cargo público pela Unidade de Correição. Tais deliberações estão sendo regularmente cumpridas. E dessa forma, temos que as deliberações do TCU estão sendo cumpridas.</w:t>
            </w:r>
          </w:p>
        </w:tc>
      </w:tr>
      <w:tr w:rsidR="00753F5D" w:rsidRPr="0070364F" w:rsidTr="00753F5D">
        <w:trPr>
          <w:trHeight w:val="410"/>
        </w:trPr>
        <w:tc>
          <w:tcPr>
            <w:tcW w:w="5000" w:type="pct"/>
            <w:gridSpan w:val="7"/>
            <w:shd w:val="clear" w:color="auto" w:fill="D9D9D9"/>
            <w:noWrap/>
            <w:vAlign w:val="bottom"/>
          </w:tcPr>
          <w:p w:rsidR="00753F5D" w:rsidRPr="00E0687F" w:rsidRDefault="00753F5D" w:rsidP="00753F5D">
            <w:pPr>
              <w:tabs>
                <w:tab w:val="left" w:pos="3119"/>
              </w:tabs>
              <w:spacing w:before="45" w:after="45"/>
              <w:jc w:val="both"/>
              <w:rPr>
                <w:b/>
                <w:sz w:val="20"/>
              </w:rPr>
            </w:pPr>
            <w:r w:rsidRPr="00E0687F">
              <w:rPr>
                <w:b/>
                <w:sz w:val="20"/>
              </w:rPr>
              <w:lastRenderedPageBreak/>
              <w:t>Análise Crítica dos Fatores Positivos/Negativos que Facilitaram/</w:t>
            </w:r>
            <w:proofErr w:type="gramStart"/>
            <w:r w:rsidRPr="00E0687F">
              <w:rPr>
                <w:b/>
                <w:sz w:val="20"/>
              </w:rPr>
              <w:t>Prejudicaram</w:t>
            </w:r>
            <w:proofErr w:type="gramEnd"/>
            <w:r w:rsidRPr="00E0687F">
              <w:rPr>
                <w:b/>
                <w:sz w:val="20"/>
              </w:rPr>
              <w:t xml:space="preserve"> a Adoção de Providências pelo Gestor</w:t>
            </w:r>
          </w:p>
        </w:tc>
      </w:tr>
      <w:tr w:rsidR="00753F5D" w:rsidRPr="0070364F" w:rsidTr="00753F5D">
        <w:trPr>
          <w:trHeight w:val="410"/>
        </w:trPr>
        <w:tc>
          <w:tcPr>
            <w:tcW w:w="5000" w:type="pct"/>
            <w:gridSpan w:val="7"/>
            <w:shd w:val="clear" w:color="auto" w:fill="FFFFFF"/>
            <w:noWrap/>
            <w:vAlign w:val="bottom"/>
          </w:tcPr>
          <w:p w:rsidR="00753F5D" w:rsidRPr="00E0687F" w:rsidRDefault="00D356FB" w:rsidP="00D356FB">
            <w:pPr>
              <w:tabs>
                <w:tab w:val="left" w:pos="3119"/>
              </w:tabs>
              <w:jc w:val="both"/>
              <w:rPr>
                <w:rFonts w:asciiTheme="majorHAnsi" w:hAnsiTheme="majorHAnsi"/>
                <w:i/>
                <w:sz w:val="20"/>
              </w:rPr>
            </w:pPr>
            <w:r w:rsidRPr="00E0687F">
              <w:rPr>
                <w:rFonts w:asciiTheme="majorHAnsi" w:hAnsiTheme="majorHAnsi"/>
                <w:i/>
                <w:sz w:val="20"/>
              </w:rPr>
              <w:t>Em vista da evolução dos fatos acima demonstrados, fica evidente que não houve inércia da gestão do IFAM com relação à adoção de providências para atendimento das demandas oriundas do referido Acórdão. As providências foram tomadas, na medida do possível; contudo, o progresso restou prejudicado em função de fatos supervenientes, alguns de cunho pessoal e outros de natureza institucional, que inviabilizaram a conciliação de tempo dos integrantes das Comissões, bem como em decorrência da falta de opção para designações alternativas, em função da escassez de servidores habilitados a participarem de comissões e outros impedidos por estarem em alcance.</w:t>
            </w:r>
          </w:p>
        </w:tc>
      </w:tr>
    </w:tbl>
    <w:p w:rsidR="00753F5D" w:rsidRDefault="00753F5D" w:rsidP="00193B54">
      <w:pPr>
        <w:pStyle w:val="Epgrafe"/>
        <w:ind w:left="0"/>
      </w:pPr>
    </w:p>
    <w:sectPr w:rsidR="00753F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2B" w:rsidRDefault="00E1202B" w:rsidP="00753F5D">
      <w:pPr>
        <w:spacing w:before="0" w:after="0"/>
      </w:pPr>
      <w:r>
        <w:separator/>
      </w:r>
    </w:p>
  </w:endnote>
  <w:endnote w:type="continuationSeparator" w:id="0">
    <w:p w:rsidR="00E1202B" w:rsidRDefault="00E1202B" w:rsidP="00753F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2B" w:rsidRDefault="00E1202B" w:rsidP="00753F5D">
      <w:pPr>
        <w:spacing w:before="0" w:after="0"/>
      </w:pPr>
      <w:r>
        <w:separator/>
      </w:r>
    </w:p>
  </w:footnote>
  <w:footnote w:type="continuationSeparator" w:id="0">
    <w:p w:rsidR="00E1202B" w:rsidRDefault="00E1202B" w:rsidP="00753F5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ABD"/>
    <w:multiLevelType w:val="hybridMultilevel"/>
    <w:tmpl w:val="64D25E4A"/>
    <w:lvl w:ilvl="0" w:tplc="04160017">
      <w:start w:val="1"/>
      <w:numFmt w:val="lowerLetter"/>
      <w:lvlText w:val="%1)"/>
      <w:lvlJc w:val="left"/>
      <w:pPr>
        <w:ind w:left="3763" w:hanging="360"/>
      </w:pPr>
      <w:rPr>
        <w:rFonts w:hint="default"/>
        <w:b w:val="0"/>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5D"/>
    <w:rsid w:val="00091CD8"/>
    <w:rsid w:val="00193B54"/>
    <w:rsid w:val="0028652E"/>
    <w:rsid w:val="00293A13"/>
    <w:rsid w:val="00440514"/>
    <w:rsid w:val="00467278"/>
    <w:rsid w:val="00733078"/>
    <w:rsid w:val="00753F5D"/>
    <w:rsid w:val="00785BAE"/>
    <w:rsid w:val="008A28B7"/>
    <w:rsid w:val="008C0EC9"/>
    <w:rsid w:val="00A85134"/>
    <w:rsid w:val="00AD1E20"/>
    <w:rsid w:val="00C257FD"/>
    <w:rsid w:val="00D356FB"/>
    <w:rsid w:val="00E0687F"/>
    <w:rsid w:val="00E1202B"/>
    <w:rsid w:val="00E65650"/>
    <w:rsid w:val="00EE150E"/>
    <w:rsid w:val="00F879A6"/>
    <w:rsid w:val="00FC7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5D"/>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3F5D"/>
    <w:pPr>
      <w:tabs>
        <w:tab w:val="center" w:pos="4252"/>
        <w:tab w:val="right" w:pos="8504"/>
      </w:tabs>
      <w:spacing w:before="0" w:after="0"/>
    </w:pPr>
  </w:style>
  <w:style w:type="character" w:customStyle="1" w:styleId="CabealhoChar">
    <w:name w:val="Cabeçalho Char"/>
    <w:basedOn w:val="Fontepargpadro"/>
    <w:link w:val="Cabealho"/>
    <w:uiPriority w:val="99"/>
    <w:rsid w:val="00753F5D"/>
    <w:rPr>
      <w:rFonts w:ascii="Times New Roman" w:eastAsia="Calibri" w:hAnsi="Times New Roman" w:cs="Times New Roman"/>
      <w:sz w:val="24"/>
      <w:szCs w:val="24"/>
    </w:rPr>
  </w:style>
  <w:style w:type="paragraph" w:styleId="Rodap">
    <w:name w:val="footer"/>
    <w:basedOn w:val="Normal"/>
    <w:link w:val="RodapChar"/>
    <w:uiPriority w:val="99"/>
    <w:unhideWhenUsed/>
    <w:rsid w:val="00753F5D"/>
    <w:pPr>
      <w:tabs>
        <w:tab w:val="center" w:pos="4252"/>
        <w:tab w:val="right" w:pos="8504"/>
      </w:tabs>
      <w:spacing w:before="0" w:after="0"/>
    </w:pPr>
  </w:style>
  <w:style w:type="character" w:customStyle="1" w:styleId="RodapChar">
    <w:name w:val="Rodapé Char"/>
    <w:basedOn w:val="Fontepargpadro"/>
    <w:link w:val="Rodap"/>
    <w:uiPriority w:val="99"/>
    <w:rsid w:val="00753F5D"/>
    <w:rPr>
      <w:rFonts w:ascii="Times New Roman" w:eastAsia="Calibri" w:hAnsi="Times New Roman" w:cs="Times New Roman"/>
      <w:sz w:val="24"/>
      <w:szCs w:val="24"/>
    </w:rPr>
  </w:style>
  <w:style w:type="paragraph" w:customStyle="1" w:styleId="Epgrafe">
    <w:name w:val="#Epígrafe"/>
    <w:basedOn w:val="Normal"/>
    <w:autoRedefine/>
    <w:qFormat/>
    <w:rsid w:val="00753F5D"/>
    <w:pPr>
      <w:widowControl w:val="0"/>
      <w:tabs>
        <w:tab w:val="left" w:pos="426"/>
      </w:tabs>
      <w:suppressAutoHyphens/>
      <w:autoSpaceDE/>
      <w:autoSpaceDN/>
      <w:adjustRightInd/>
      <w:spacing w:before="90" w:after="45"/>
      <w:ind w:left="57"/>
    </w:pPr>
    <w:rPr>
      <w:b/>
      <w:sz w:val="20"/>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5D"/>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3F5D"/>
    <w:pPr>
      <w:tabs>
        <w:tab w:val="center" w:pos="4252"/>
        <w:tab w:val="right" w:pos="8504"/>
      </w:tabs>
      <w:spacing w:before="0" w:after="0"/>
    </w:pPr>
  </w:style>
  <w:style w:type="character" w:customStyle="1" w:styleId="CabealhoChar">
    <w:name w:val="Cabeçalho Char"/>
    <w:basedOn w:val="Fontepargpadro"/>
    <w:link w:val="Cabealho"/>
    <w:uiPriority w:val="99"/>
    <w:rsid w:val="00753F5D"/>
    <w:rPr>
      <w:rFonts w:ascii="Times New Roman" w:eastAsia="Calibri" w:hAnsi="Times New Roman" w:cs="Times New Roman"/>
      <w:sz w:val="24"/>
      <w:szCs w:val="24"/>
    </w:rPr>
  </w:style>
  <w:style w:type="paragraph" w:styleId="Rodap">
    <w:name w:val="footer"/>
    <w:basedOn w:val="Normal"/>
    <w:link w:val="RodapChar"/>
    <w:uiPriority w:val="99"/>
    <w:unhideWhenUsed/>
    <w:rsid w:val="00753F5D"/>
    <w:pPr>
      <w:tabs>
        <w:tab w:val="center" w:pos="4252"/>
        <w:tab w:val="right" w:pos="8504"/>
      </w:tabs>
      <w:spacing w:before="0" w:after="0"/>
    </w:pPr>
  </w:style>
  <w:style w:type="character" w:customStyle="1" w:styleId="RodapChar">
    <w:name w:val="Rodapé Char"/>
    <w:basedOn w:val="Fontepargpadro"/>
    <w:link w:val="Rodap"/>
    <w:uiPriority w:val="99"/>
    <w:rsid w:val="00753F5D"/>
    <w:rPr>
      <w:rFonts w:ascii="Times New Roman" w:eastAsia="Calibri" w:hAnsi="Times New Roman" w:cs="Times New Roman"/>
      <w:sz w:val="24"/>
      <w:szCs w:val="24"/>
    </w:rPr>
  </w:style>
  <w:style w:type="paragraph" w:customStyle="1" w:styleId="Epgrafe">
    <w:name w:val="#Epígrafe"/>
    <w:basedOn w:val="Normal"/>
    <w:autoRedefine/>
    <w:qFormat/>
    <w:rsid w:val="00753F5D"/>
    <w:pPr>
      <w:widowControl w:val="0"/>
      <w:tabs>
        <w:tab w:val="left" w:pos="426"/>
      </w:tabs>
      <w:suppressAutoHyphens/>
      <w:autoSpaceDE/>
      <w:autoSpaceDN/>
      <w:adjustRightInd/>
      <w:spacing w:before="90" w:after="45"/>
      <w:ind w:left="57"/>
    </w:pPr>
    <w:rPr>
      <w:b/>
      <w:sz w:val="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2015-03-19T15:51:00Z</dcterms:created>
  <dcterms:modified xsi:type="dcterms:W3CDTF">2015-03-19T15:51:00Z</dcterms:modified>
</cp:coreProperties>
</file>