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91"/>
        <w:gridCol w:w="1908"/>
        <w:gridCol w:w="787"/>
        <w:gridCol w:w="1373"/>
        <w:gridCol w:w="714"/>
        <w:gridCol w:w="1524"/>
      </w:tblGrid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894C63" w:rsidRPr="0070364F" w:rsidTr="00894C63">
        <w:trPr>
          <w:trHeight w:val="410"/>
        </w:trPr>
        <w:tc>
          <w:tcPr>
            <w:tcW w:w="4104" w:type="pct"/>
            <w:gridSpan w:val="6"/>
            <w:shd w:val="clear" w:color="auto" w:fill="BFBFBF"/>
            <w:noWrap/>
            <w:vAlign w:val="bottom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896" w:type="pct"/>
            <w:shd w:val="clear" w:color="auto" w:fill="BFBFBF"/>
            <w:vAlign w:val="bottom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894C63" w:rsidRPr="0070364F" w:rsidTr="00894C63">
        <w:trPr>
          <w:trHeight w:val="410"/>
        </w:trPr>
        <w:tc>
          <w:tcPr>
            <w:tcW w:w="4104" w:type="pct"/>
            <w:gridSpan w:val="6"/>
            <w:shd w:val="clear" w:color="auto" w:fill="FFFFFF"/>
            <w:noWrap/>
            <w:vAlign w:val="center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896" w:type="pct"/>
            <w:shd w:val="clear" w:color="auto" w:fill="FFFFFF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 w:rsidRPr="00BA3D8D">
              <w:rPr>
                <w:b/>
                <w:color w:val="000000"/>
                <w:sz w:val="20"/>
                <w:szCs w:val="20"/>
              </w:rPr>
              <w:t>100910</w:t>
            </w:r>
          </w:p>
        </w:tc>
      </w:tr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894C63" w:rsidRPr="0070364F" w:rsidTr="00894C63">
        <w:trPr>
          <w:trHeight w:val="410"/>
        </w:trPr>
        <w:tc>
          <w:tcPr>
            <w:tcW w:w="471" w:type="pct"/>
            <w:shd w:val="clear" w:color="auto" w:fill="D9D9D9"/>
            <w:noWrap/>
            <w:vAlign w:val="center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875" w:type="pct"/>
            <w:shd w:val="clear" w:color="auto" w:fill="D9D9D9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137" w:type="pct"/>
            <w:shd w:val="clear" w:color="auto" w:fill="D9D9D9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433" w:type="pct"/>
            <w:shd w:val="clear" w:color="auto" w:fill="D9D9D9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801" w:type="pct"/>
            <w:shd w:val="clear" w:color="auto" w:fill="D9D9D9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282" w:type="pct"/>
            <w:gridSpan w:val="2"/>
            <w:shd w:val="clear" w:color="auto" w:fill="D9D9D9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894C63" w:rsidRPr="0070364F" w:rsidTr="00894C63">
        <w:trPr>
          <w:trHeight w:val="410"/>
        </w:trPr>
        <w:tc>
          <w:tcPr>
            <w:tcW w:w="471" w:type="pct"/>
            <w:shd w:val="clear" w:color="auto" w:fill="auto"/>
            <w:noWrap/>
            <w:vAlign w:val="center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028911213-0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894C63" w:rsidRPr="00167BE7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167BE7">
              <w:t xml:space="preserve">Acórdão n° </w:t>
            </w:r>
            <w:r>
              <w:t>1730/2014-TCU-2ª Câmara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BA3D8D">
              <w:rPr>
                <w:color w:val="000000"/>
                <w:sz w:val="20"/>
                <w:szCs w:val="20"/>
              </w:rPr>
              <w:t>Determinação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Ofício 0572/2014-TCU-SECEX/AM, 05 de maio de </w:t>
            </w:r>
            <w:proofErr w:type="gramStart"/>
            <w:r>
              <w:rPr>
                <w:color w:val="000000"/>
                <w:sz w:val="20"/>
              </w:rPr>
              <w:t>2014</w:t>
            </w:r>
            <w:proofErr w:type="gramEnd"/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894C63" w:rsidRPr="0070364F" w:rsidTr="00894C63">
        <w:trPr>
          <w:trHeight w:val="410"/>
        </w:trPr>
        <w:tc>
          <w:tcPr>
            <w:tcW w:w="4104" w:type="pct"/>
            <w:gridSpan w:val="6"/>
            <w:shd w:val="clear" w:color="auto" w:fill="D9D9D9"/>
            <w:noWrap/>
            <w:vAlign w:val="center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896" w:type="pct"/>
            <w:shd w:val="clear" w:color="auto" w:fill="D9D9D9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894C63" w:rsidRPr="0070364F" w:rsidTr="00894C63">
        <w:trPr>
          <w:trHeight w:val="410"/>
        </w:trPr>
        <w:tc>
          <w:tcPr>
            <w:tcW w:w="4104" w:type="pct"/>
            <w:gridSpan w:val="6"/>
            <w:shd w:val="clear" w:color="auto" w:fill="FFFFFF"/>
            <w:noWrap/>
            <w:vAlign w:val="center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IFAM – REITORIA</w:t>
            </w:r>
          </w:p>
        </w:tc>
        <w:tc>
          <w:tcPr>
            <w:tcW w:w="896" w:type="pct"/>
            <w:shd w:val="clear" w:color="auto" w:fill="FFFFFF"/>
            <w:vAlign w:val="center"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BA3D8D">
              <w:rPr>
                <w:b/>
                <w:color w:val="000000"/>
                <w:sz w:val="20"/>
                <w:szCs w:val="20"/>
              </w:rPr>
              <w:t>100910</w:t>
            </w:r>
          </w:p>
        </w:tc>
      </w:tr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894C63" w:rsidRPr="0070364F" w:rsidRDefault="00894C63" w:rsidP="00214CA4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894C63" w:rsidRDefault="00894C63" w:rsidP="00214CA4">
            <w:pPr>
              <w:pStyle w:val="TCU-Ac-item9-1Linha"/>
              <w:spacing w:after="0"/>
            </w:pPr>
            <w:r>
              <w:t>1.7. Determinar:</w:t>
            </w:r>
          </w:p>
          <w:p w:rsidR="00894C63" w:rsidRDefault="00894C63" w:rsidP="00214CA4">
            <w:pPr>
              <w:pStyle w:val="TCU-Ac-item9-1Linha"/>
              <w:spacing w:after="0"/>
              <w:rPr>
                <w:szCs w:val="24"/>
              </w:rPr>
            </w:pPr>
            <w:r w:rsidRPr="00EF4267">
              <w:rPr>
                <w:szCs w:val="24"/>
              </w:rPr>
              <w:t>1.7.</w:t>
            </w:r>
            <w:r>
              <w:rPr>
                <w:szCs w:val="24"/>
              </w:rPr>
              <w:t>1</w:t>
            </w:r>
            <w:r w:rsidRPr="00EF4267"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ao</w:t>
            </w:r>
            <w:proofErr w:type="gramEnd"/>
            <w:r>
              <w:rPr>
                <w:szCs w:val="24"/>
              </w:rPr>
              <w:t xml:space="preserve"> </w:t>
            </w:r>
            <w:r>
              <w:t xml:space="preserve">Instituto Federal de Educação, Ciência e Tecnologia do Amazonas – </w:t>
            </w:r>
            <w:proofErr w:type="spellStart"/>
            <w:r>
              <w:t>Ifam</w:t>
            </w:r>
            <w:proofErr w:type="spellEnd"/>
            <w:r w:rsidRPr="00EF4267">
              <w:rPr>
                <w:szCs w:val="24"/>
              </w:rPr>
              <w:t xml:space="preserve"> que se abstenha de incorrer nas </w:t>
            </w:r>
            <w:r>
              <w:rPr>
                <w:szCs w:val="24"/>
              </w:rPr>
              <w:t>falhas</w:t>
            </w:r>
            <w:r w:rsidRPr="00EF4267">
              <w:rPr>
                <w:szCs w:val="24"/>
              </w:rPr>
              <w:t xml:space="preserve"> descrit</w:t>
            </w:r>
            <w:r>
              <w:rPr>
                <w:szCs w:val="24"/>
              </w:rPr>
              <w:t>as a seguir, identificadas na presente representação</w:t>
            </w:r>
            <w:r w:rsidRPr="00EF4267">
              <w:rPr>
                <w:szCs w:val="24"/>
              </w:rPr>
              <w:t>:</w:t>
            </w:r>
          </w:p>
          <w:p w:rsidR="00894C63" w:rsidRDefault="00894C63" w:rsidP="00214CA4">
            <w:pPr>
              <w:pStyle w:val="TCU-Ac-item9-1Linha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1.7.1.1. </w:t>
            </w:r>
            <w:proofErr w:type="gramStart"/>
            <w:r>
              <w:rPr>
                <w:szCs w:val="24"/>
              </w:rPr>
              <w:t>na</w:t>
            </w:r>
            <w:proofErr w:type="gramEnd"/>
            <w:r>
              <w:rPr>
                <w:szCs w:val="24"/>
              </w:rPr>
              <w:t xml:space="preserve"> execução de procedimentos licitatórios, responda às impugnações apresentadas tempestivamente em até 3 (três) dias úteis, conforme preleciona o art. 41, § 1º, da Lei nº 8.666/1993;</w:t>
            </w:r>
          </w:p>
          <w:p w:rsidR="00894C63" w:rsidRPr="0068376B" w:rsidRDefault="00894C63" w:rsidP="00214CA4">
            <w:pPr>
              <w:pStyle w:val="TCU-Ac-item9-1Linha"/>
              <w:spacing w:after="0"/>
            </w:pPr>
            <w:r>
              <w:rPr>
                <w:szCs w:val="24"/>
              </w:rPr>
              <w:t xml:space="preserve">1.7.1.2. </w:t>
            </w:r>
            <w:proofErr w:type="gramStart"/>
            <w:r>
              <w:rPr>
                <w:szCs w:val="24"/>
              </w:rPr>
              <w:t>quando</w:t>
            </w:r>
            <w:proofErr w:type="gramEnd"/>
            <w:r>
              <w:rPr>
                <w:szCs w:val="24"/>
              </w:rPr>
              <w:t xml:space="preserve"> for realizar licitações, deve executar estudos técnicos preliminares para embasar a elaboração do projeto básico com todos os elementos necessários e suficientes para a regular execução do objeto, de forma a evitar alterações após a assinatura dos contratos;</w:t>
            </w:r>
          </w:p>
        </w:tc>
      </w:tr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894C63" w:rsidRPr="0070364F" w:rsidRDefault="00F808D4" w:rsidP="00753F5D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894C63" w:rsidRPr="0070364F" w:rsidTr="00894C63">
        <w:trPr>
          <w:trHeight w:val="410"/>
        </w:trPr>
        <w:tc>
          <w:tcPr>
            <w:tcW w:w="4104" w:type="pct"/>
            <w:gridSpan w:val="6"/>
            <w:shd w:val="clear" w:color="auto" w:fill="D9D9D9"/>
            <w:noWrap/>
            <w:vAlign w:val="bottom"/>
            <w:hideMark/>
          </w:tcPr>
          <w:p w:rsidR="00894C63" w:rsidRPr="0070364F" w:rsidRDefault="00894C63" w:rsidP="00753F5D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Setor Responsável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896" w:type="pct"/>
            <w:shd w:val="clear" w:color="auto" w:fill="D9D9D9"/>
            <w:vAlign w:val="bottom"/>
          </w:tcPr>
          <w:p w:rsidR="00894C63" w:rsidRPr="0070364F" w:rsidRDefault="00894C63" w:rsidP="00753F5D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894C63" w:rsidRPr="00FF6038" w:rsidTr="00894C63">
        <w:trPr>
          <w:trHeight w:val="410"/>
        </w:trPr>
        <w:tc>
          <w:tcPr>
            <w:tcW w:w="4104" w:type="pct"/>
            <w:gridSpan w:val="6"/>
            <w:shd w:val="clear" w:color="auto" w:fill="F2F2F2"/>
            <w:noWrap/>
            <w:vAlign w:val="bottom"/>
            <w:hideMark/>
          </w:tcPr>
          <w:p w:rsidR="00894C63" w:rsidRPr="00894C63" w:rsidRDefault="00894C63" w:rsidP="008A28B7">
            <w:pPr>
              <w:tabs>
                <w:tab w:val="left" w:pos="3119"/>
              </w:tabs>
              <w:spacing w:after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021D0">
              <w:rPr>
                <w:color w:val="000000"/>
                <w:sz w:val="20"/>
                <w:lang w:val="en-US"/>
              </w:rPr>
              <w:t>PROAD (ITEM 1.7.1.1) E PRODIN (ITEM 1.7.1.2)</w:t>
            </w:r>
          </w:p>
        </w:tc>
        <w:tc>
          <w:tcPr>
            <w:tcW w:w="896" w:type="pct"/>
            <w:shd w:val="clear" w:color="auto" w:fill="F2F2F2"/>
            <w:vAlign w:val="bottom"/>
          </w:tcPr>
          <w:p w:rsidR="00894C63" w:rsidRPr="00894C63" w:rsidRDefault="00894C63" w:rsidP="00753F5D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lang w:val="en-US"/>
              </w:rPr>
            </w:pPr>
          </w:p>
        </w:tc>
      </w:tr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894C63" w:rsidRPr="0070364F" w:rsidRDefault="00F808D4" w:rsidP="00753F5D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Síntese da Providência 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894C63" w:rsidRDefault="00FF6038" w:rsidP="00753F5D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 – em elaboração de controles internos administrativos adequados para a licitação</w:t>
            </w:r>
            <w:bookmarkStart w:id="0" w:name="_GoBack"/>
            <w:bookmarkEnd w:id="0"/>
          </w:p>
          <w:p w:rsidR="00F808D4" w:rsidRPr="0070364F" w:rsidRDefault="00F808D4" w:rsidP="00753F5D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PRODIN – em fase de consolidação de fluxograma quanto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elaboração dos documentos</w:t>
            </w:r>
          </w:p>
        </w:tc>
      </w:tr>
      <w:tr w:rsidR="00F808D4" w:rsidRPr="0070364F" w:rsidTr="00F808D4">
        <w:trPr>
          <w:trHeight w:val="410"/>
        </w:trPr>
        <w:tc>
          <w:tcPr>
            <w:tcW w:w="5000" w:type="pct"/>
            <w:gridSpan w:val="7"/>
            <w:shd w:val="clear" w:color="auto" w:fill="BFBFBF" w:themeFill="background1" w:themeFillShade="BF"/>
            <w:noWrap/>
            <w:vAlign w:val="bottom"/>
          </w:tcPr>
          <w:p w:rsidR="00F808D4" w:rsidRPr="0070364F" w:rsidRDefault="00F808D4" w:rsidP="00753F5D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Síntes</w:t>
            </w:r>
            <w:r>
              <w:rPr>
                <w:b/>
                <w:color w:val="000000"/>
                <w:sz w:val="20"/>
              </w:rPr>
              <w:t>e dos Resultados 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F808D4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:rsidR="00F808D4" w:rsidRPr="00F808D4" w:rsidRDefault="00F808D4" w:rsidP="00753F5D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 monitoramento pela CGCI e AUDIN.</w:t>
            </w:r>
          </w:p>
        </w:tc>
      </w:tr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894C63" w:rsidRPr="0070364F" w:rsidRDefault="00894C63" w:rsidP="00753F5D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</w:t>
            </w:r>
            <w:proofErr w:type="gramStart"/>
            <w:r>
              <w:rPr>
                <w:b/>
                <w:color w:val="000000"/>
                <w:sz w:val="20"/>
              </w:rPr>
              <w:t>Prejudicaram</w:t>
            </w:r>
            <w:proofErr w:type="gramEnd"/>
            <w:r>
              <w:rPr>
                <w:b/>
                <w:color w:val="000000"/>
                <w:sz w:val="20"/>
              </w:rPr>
              <w:t xml:space="preserve"> a Adoção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894C63" w:rsidRPr="0070364F" w:rsidTr="00753F5D">
        <w:trPr>
          <w:trHeight w:val="41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894C63" w:rsidRPr="0070364F" w:rsidRDefault="00F808D4" w:rsidP="00753F5D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 monitoramento pela CGCI e AUDIN.</w:t>
            </w:r>
          </w:p>
        </w:tc>
      </w:tr>
    </w:tbl>
    <w:p w:rsidR="00753F5D" w:rsidRDefault="00753F5D" w:rsidP="00753F5D">
      <w:pPr>
        <w:pStyle w:val="Epgrafe"/>
        <w:ind w:left="0"/>
      </w:pPr>
      <w:bookmarkStart w:id="1" w:name="_Toc386651615"/>
      <w:r w:rsidRPr="0070364F">
        <w:t>Quadro A.</w:t>
      </w:r>
      <w:r>
        <w:t>11.1.2</w:t>
      </w:r>
      <w:r w:rsidRPr="0070364F">
        <w:t xml:space="preserve"> </w:t>
      </w:r>
      <w:r>
        <w:t>– Situação das</w:t>
      </w:r>
      <w:r w:rsidRPr="0070364F">
        <w:t xml:space="preserve"> deliberações</w:t>
      </w:r>
      <w:r>
        <w:t xml:space="preserve"> do TCU que permanecem pendentes de atendimento no exercício</w:t>
      </w:r>
      <w:bookmarkEnd w:id="1"/>
    </w:p>
    <w:sectPr w:rsidR="00753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83" w:rsidRDefault="000A0A83" w:rsidP="00753F5D">
      <w:pPr>
        <w:spacing w:before="0" w:after="0"/>
      </w:pPr>
      <w:r>
        <w:separator/>
      </w:r>
    </w:p>
  </w:endnote>
  <w:endnote w:type="continuationSeparator" w:id="0">
    <w:p w:rsidR="000A0A83" w:rsidRDefault="000A0A83" w:rsidP="00753F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83" w:rsidRDefault="000A0A83" w:rsidP="00753F5D">
      <w:pPr>
        <w:spacing w:before="0" w:after="0"/>
      </w:pPr>
      <w:r>
        <w:separator/>
      </w:r>
    </w:p>
  </w:footnote>
  <w:footnote w:type="continuationSeparator" w:id="0">
    <w:p w:rsidR="000A0A83" w:rsidRDefault="000A0A83" w:rsidP="00753F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6ABD"/>
    <w:multiLevelType w:val="hybridMultilevel"/>
    <w:tmpl w:val="64D25E4A"/>
    <w:lvl w:ilvl="0" w:tplc="04160017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5D"/>
    <w:rsid w:val="000A0A83"/>
    <w:rsid w:val="002B2E53"/>
    <w:rsid w:val="00440514"/>
    <w:rsid w:val="00703A84"/>
    <w:rsid w:val="00733078"/>
    <w:rsid w:val="00753F5D"/>
    <w:rsid w:val="00894C63"/>
    <w:rsid w:val="008A28B7"/>
    <w:rsid w:val="009C564D"/>
    <w:rsid w:val="00A85134"/>
    <w:rsid w:val="00EE150E"/>
    <w:rsid w:val="00F808D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5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F5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53F5D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3F5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53F5D"/>
    <w:rPr>
      <w:rFonts w:ascii="Times New Roman" w:eastAsia="Calibri" w:hAnsi="Times New Roman" w:cs="Times New Roman"/>
      <w:sz w:val="24"/>
      <w:szCs w:val="24"/>
    </w:rPr>
  </w:style>
  <w:style w:type="paragraph" w:customStyle="1" w:styleId="Epgrafe">
    <w:name w:val="#Epígrafe"/>
    <w:basedOn w:val="Normal"/>
    <w:autoRedefine/>
    <w:qFormat/>
    <w:rsid w:val="00753F5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customStyle="1" w:styleId="TCU-Ac-item9-1Linha">
    <w:name w:val="TCU -  Ac - item 9 - 1ª Linha"/>
    <w:basedOn w:val="Normal"/>
    <w:qFormat/>
    <w:rsid w:val="00894C63"/>
    <w:pPr>
      <w:tabs>
        <w:tab w:val="left" w:pos="1134"/>
      </w:tabs>
      <w:adjustRightInd/>
      <w:spacing w:before="0" w:after="160"/>
      <w:jc w:val="both"/>
    </w:pPr>
    <w:rPr>
      <w:rFonts w:eastAsia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5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F5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53F5D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3F5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53F5D"/>
    <w:rPr>
      <w:rFonts w:ascii="Times New Roman" w:eastAsia="Calibri" w:hAnsi="Times New Roman" w:cs="Times New Roman"/>
      <w:sz w:val="24"/>
      <w:szCs w:val="24"/>
    </w:rPr>
  </w:style>
  <w:style w:type="paragraph" w:customStyle="1" w:styleId="Epgrafe">
    <w:name w:val="#Epígrafe"/>
    <w:basedOn w:val="Normal"/>
    <w:autoRedefine/>
    <w:qFormat/>
    <w:rsid w:val="00753F5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customStyle="1" w:styleId="TCU-Ac-item9-1Linha">
    <w:name w:val="TCU -  Ac - item 9 - 1ª Linha"/>
    <w:basedOn w:val="Normal"/>
    <w:qFormat/>
    <w:rsid w:val="00894C63"/>
    <w:pPr>
      <w:tabs>
        <w:tab w:val="left" w:pos="1134"/>
      </w:tabs>
      <w:adjustRightInd/>
      <w:spacing w:before="0" w:after="160"/>
      <w:jc w:val="both"/>
    </w:pPr>
    <w:rPr>
      <w:rFonts w:eastAsia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5</cp:revision>
  <dcterms:created xsi:type="dcterms:W3CDTF">2015-03-19T18:41:00Z</dcterms:created>
  <dcterms:modified xsi:type="dcterms:W3CDTF">2015-03-19T19:09:00Z</dcterms:modified>
</cp:coreProperties>
</file>