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DD" w:rsidRPr="00EC0CE2" w:rsidRDefault="00075EDD" w:rsidP="00075EDD">
      <w:pPr>
        <w:pStyle w:val="PargrafodaLista"/>
        <w:numPr>
          <w:ilvl w:val="1"/>
          <w:numId w:val="1"/>
        </w:numPr>
        <w:spacing w:after="0" w:line="360" w:lineRule="auto"/>
        <w:outlineLvl w:val="1"/>
        <w:rPr>
          <w:bCs/>
          <w:sz w:val="24"/>
          <w:szCs w:val="24"/>
        </w:rPr>
      </w:pPr>
      <w:bookmarkStart w:id="0" w:name="_Toc439672706"/>
      <w:r w:rsidRPr="00EC0CE2">
        <w:rPr>
          <w:bCs/>
          <w:sz w:val="24"/>
          <w:szCs w:val="24"/>
        </w:rPr>
        <w:t>Macroprocessos finalísticos</w:t>
      </w:r>
      <w:bookmarkEnd w:id="0"/>
      <w:r w:rsidRPr="00EC0CE2">
        <w:rPr>
          <w:bCs/>
          <w:sz w:val="24"/>
          <w:szCs w:val="24"/>
        </w:rPr>
        <w:t xml:space="preserve"> </w:t>
      </w:r>
    </w:p>
    <w:p w:rsidR="00075EDD" w:rsidRPr="00BD16FC" w:rsidRDefault="00075EDD" w:rsidP="00075EDD">
      <w:pPr>
        <w:pStyle w:val="PargrafodaLista"/>
        <w:spacing w:after="0"/>
        <w:ind w:left="0" w:firstLine="426"/>
        <w:jc w:val="both"/>
        <w:rPr>
          <w:sz w:val="24"/>
          <w:szCs w:val="24"/>
        </w:rPr>
      </w:pPr>
      <w:r w:rsidRPr="00BD16FC">
        <w:rPr>
          <w:sz w:val="24"/>
          <w:szCs w:val="24"/>
        </w:rPr>
        <w:t xml:space="preserve">Os macroprocessos finalísticos do </w:t>
      </w:r>
      <w:r>
        <w:rPr>
          <w:sz w:val="24"/>
          <w:szCs w:val="24"/>
        </w:rPr>
        <w:t>IFAM</w:t>
      </w:r>
      <w:r w:rsidRPr="00BD16FC">
        <w:rPr>
          <w:sz w:val="24"/>
          <w:szCs w:val="24"/>
        </w:rPr>
        <w:t xml:space="preserve"> são aqueles diretamente relacionados com o negócio e com a razão de existir da instituição. No quadro abaixo estão listados estes processos referentes a cada Pró-Reitoria. </w:t>
      </w:r>
    </w:p>
    <w:p w:rsidR="00075EDD" w:rsidRPr="00BD16FC" w:rsidRDefault="00075EDD" w:rsidP="00075EDD">
      <w:pPr>
        <w:spacing w:after="0"/>
      </w:pPr>
    </w:p>
    <w:p w:rsidR="00075EDD" w:rsidRPr="00BD16FC" w:rsidRDefault="00075EDD" w:rsidP="00075EDD">
      <w:pPr>
        <w:pStyle w:val="Legenda"/>
        <w:keepNext/>
        <w:spacing w:after="0"/>
        <w:jc w:val="center"/>
      </w:pPr>
    </w:p>
    <w:p w:rsidR="00075EDD" w:rsidRDefault="00075EDD" w:rsidP="00075EDD">
      <w:pPr>
        <w:pStyle w:val="Legenda"/>
        <w:keepNext/>
        <w:jc w:val="center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Pr="00F860F7">
        <w:t>Macroprocessos Finalísticos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97"/>
        <w:gridCol w:w="2455"/>
        <w:gridCol w:w="1225"/>
        <w:gridCol w:w="1345"/>
        <w:gridCol w:w="1464"/>
      </w:tblGrid>
      <w:tr w:rsidR="00075EDD" w:rsidRPr="00BD16FC" w:rsidTr="00647C32">
        <w:tc>
          <w:tcPr>
            <w:tcW w:w="1927" w:type="dxa"/>
            <w:shd w:val="clear" w:color="auto" w:fill="F2F2F2" w:themeFill="background1" w:themeFillShade="F2"/>
            <w:vAlign w:val="center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Macroprocessos</w:t>
            </w:r>
          </w:p>
        </w:tc>
        <w:tc>
          <w:tcPr>
            <w:tcW w:w="2609" w:type="dxa"/>
            <w:shd w:val="clear" w:color="auto" w:fill="F2F2F2" w:themeFill="background1" w:themeFillShade="F2"/>
            <w:vAlign w:val="center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Descrição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Produtos e Serviços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Principais Clientes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Subunidades Responsáveis</w:t>
            </w:r>
          </w:p>
        </w:tc>
      </w:tr>
      <w:tr w:rsidR="00075EDD" w:rsidRPr="00BD16FC" w:rsidTr="00647C32">
        <w:tc>
          <w:tcPr>
            <w:tcW w:w="1927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Promover a excelência do ensino por meio da formulação de políticas educacionais de qualidade socialmente referenciadas.</w:t>
            </w:r>
          </w:p>
        </w:tc>
        <w:tc>
          <w:tcPr>
            <w:tcW w:w="2609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Planejamento, coordenação, supervisão, avaliação e controle das políticas relativas à educação profissional técnica e tecnológica e aos cursos de formação de professores (licenciaturas).</w:t>
            </w:r>
          </w:p>
          <w:p w:rsidR="00075EDD" w:rsidRPr="00BD16FC" w:rsidRDefault="00075EDD" w:rsidP="00647C32">
            <w:pPr>
              <w:spacing w:after="0"/>
              <w:jc w:val="center"/>
              <w:rPr>
                <w:bCs/>
                <w:iCs/>
              </w:rPr>
            </w:pPr>
            <w:r w:rsidRPr="00BD16FC">
              <w:rPr>
                <w:bCs/>
                <w:iCs/>
              </w:rPr>
              <w:t xml:space="preserve">Normas e procedimentos para o funcionamento do registro acadêmico nos </w:t>
            </w:r>
            <w:r w:rsidRPr="00BD16FC">
              <w:rPr>
                <w:bCs/>
                <w:i/>
                <w:iCs/>
              </w:rPr>
              <w:t>campi</w:t>
            </w:r>
            <w:r w:rsidRPr="00BD16FC">
              <w:rPr>
                <w:bCs/>
                <w:iCs/>
              </w:rPr>
              <w:t>.</w:t>
            </w:r>
          </w:p>
          <w:p w:rsidR="00075EDD" w:rsidRPr="00BD16FC" w:rsidRDefault="00075EDD" w:rsidP="00647C32">
            <w:pPr>
              <w:spacing w:after="0"/>
              <w:jc w:val="center"/>
              <w:rPr>
                <w:bCs/>
                <w:iCs/>
              </w:rPr>
            </w:pPr>
            <w:r w:rsidRPr="00BD16FC">
              <w:rPr>
                <w:bCs/>
                <w:iCs/>
              </w:rPr>
              <w:t>Proposta e orientação de processos de aprendiza</w:t>
            </w:r>
            <w:r>
              <w:rPr>
                <w:bCs/>
                <w:iCs/>
              </w:rPr>
              <w:t>do para a educação inclusiva e à</w:t>
            </w:r>
            <w:r w:rsidRPr="00BD16FC">
              <w:rPr>
                <w:bCs/>
                <w:iCs/>
              </w:rPr>
              <w:t xml:space="preserve"> distância.</w:t>
            </w:r>
          </w:p>
          <w:p w:rsidR="00075EDD" w:rsidRPr="00BD16FC" w:rsidRDefault="00075EDD" w:rsidP="00647C32">
            <w:pPr>
              <w:spacing w:after="0"/>
              <w:jc w:val="center"/>
              <w:rPr>
                <w:bCs/>
                <w:iCs/>
              </w:rPr>
            </w:pPr>
            <w:r w:rsidRPr="00BD16FC">
              <w:rPr>
                <w:bCs/>
                <w:iCs/>
              </w:rPr>
              <w:t>Implementação das políticas dos cursos de formação inicial e continuada.</w:t>
            </w:r>
          </w:p>
          <w:p w:rsidR="00075EDD" w:rsidRPr="00BD16FC" w:rsidRDefault="00075EDD" w:rsidP="00647C32">
            <w:pPr>
              <w:spacing w:after="0"/>
              <w:jc w:val="center"/>
            </w:pPr>
          </w:p>
        </w:tc>
        <w:tc>
          <w:tcPr>
            <w:tcW w:w="1276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Ensino</w:t>
            </w:r>
          </w:p>
        </w:tc>
        <w:tc>
          <w:tcPr>
            <w:tcW w:w="1365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Comunidade Acadêmica</w:t>
            </w:r>
          </w:p>
        </w:tc>
        <w:tc>
          <w:tcPr>
            <w:tcW w:w="1494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PROEN</w:t>
            </w:r>
          </w:p>
        </w:tc>
      </w:tr>
      <w:tr w:rsidR="00075EDD" w:rsidRPr="00BD16FC" w:rsidTr="00647C32">
        <w:tc>
          <w:tcPr>
            <w:tcW w:w="1927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Promover com excelência a pesquisa, pós-graduação e inovação.</w:t>
            </w:r>
          </w:p>
        </w:tc>
        <w:tc>
          <w:tcPr>
            <w:tcW w:w="2609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Planejamento, coordenação, supervisão, avaliação e controle das políticas r</w:t>
            </w:r>
            <w:r>
              <w:t>elativas à pesquisa</w:t>
            </w:r>
            <w:r w:rsidRPr="00BD16FC">
              <w:t>, pós-graduação de lato e stricto sensu e inovação.</w:t>
            </w:r>
          </w:p>
          <w:p w:rsidR="00075EDD" w:rsidRPr="00BD16FC" w:rsidRDefault="00075EDD" w:rsidP="00647C32">
            <w:pPr>
              <w:spacing w:after="0"/>
              <w:jc w:val="center"/>
              <w:rPr>
                <w:bCs/>
                <w:iCs/>
              </w:rPr>
            </w:pPr>
            <w:r w:rsidRPr="00BD16FC">
              <w:rPr>
                <w:bCs/>
                <w:iCs/>
              </w:rPr>
              <w:t>Coordenação e a supervisão dos projetos e dos grupos de pesquisas.</w:t>
            </w:r>
          </w:p>
          <w:p w:rsidR="00075EDD" w:rsidRPr="00BD16FC" w:rsidRDefault="00075EDD" w:rsidP="00647C32">
            <w:pPr>
              <w:spacing w:after="0"/>
              <w:jc w:val="center"/>
              <w:rPr>
                <w:bCs/>
                <w:iCs/>
              </w:rPr>
            </w:pPr>
            <w:r w:rsidRPr="00BD16FC">
              <w:rPr>
                <w:bCs/>
                <w:iCs/>
              </w:rPr>
              <w:t>Articulação com órgãos de apoio à pesquisa.</w:t>
            </w:r>
          </w:p>
          <w:p w:rsidR="00075EDD" w:rsidRPr="00BD16FC" w:rsidRDefault="00075EDD" w:rsidP="00647C32">
            <w:pPr>
              <w:spacing w:after="0"/>
              <w:jc w:val="center"/>
            </w:pPr>
            <w:r w:rsidRPr="00BD16FC">
              <w:rPr>
                <w:bCs/>
                <w:iCs/>
              </w:rPr>
              <w:t>Fomento e criação de intercâmbio de alunos com outros órgãos de pesquisas científicas nacionais e internacionais.</w:t>
            </w:r>
          </w:p>
        </w:tc>
        <w:tc>
          <w:tcPr>
            <w:tcW w:w="1276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Pesquisa</w:t>
            </w:r>
          </w:p>
        </w:tc>
        <w:tc>
          <w:tcPr>
            <w:tcW w:w="1365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Atende a: Comunidade acadêmica</w:t>
            </w:r>
          </w:p>
        </w:tc>
        <w:tc>
          <w:tcPr>
            <w:tcW w:w="1494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PPGI</w:t>
            </w:r>
          </w:p>
        </w:tc>
      </w:tr>
      <w:tr w:rsidR="00075EDD" w:rsidRPr="00BD16FC" w:rsidTr="00647C32">
        <w:tc>
          <w:tcPr>
            <w:tcW w:w="1927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 xml:space="preserve">Interligar o conhecimento com a prática através da prestação de </w:t>
            </w:r>
            <w:r w:rsidRPr="00BD16FC">
              <w:lastRenderedPageBreak/>
              <w:t>serviços de extensão para as comunidades interna e externa, com qualidade e comprometimento.</w:t>
            </w:r>
          </w:p>
        </w:tc>
        <w:tc>
          <w:tcPr>
            <w:tcW w:w="2609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lastRenderedPageBreak/>
              <w:t>Planejamento, coordenação, supervisão, avaliação e controle das políticas de extensão.</w:t>
            </w:r>
          </w:p>
          <w:p w:rsidR="00075EDD" w:rsidRPr="00BD16FC" w:rsidRDefault="00075EDD" w:rsidP="00647C32">
            <w:pPr>
              <w:spacing w:after="0"/>
              <w:jc w:val="center"/>
              <w:rPr>
                <w:bCs/>
                <w:iCs/>
              </w:rPr>
            </w:pPr>
            <w:r w:rsidRPr="00BD16FC">
              <w:rPr>
                <w:bCs/>
                <w:iCs/>
              </w:rPr>
              <w:lastRenderedPageBreak/>
              <w:t>Avaliação das atividades relativas à extensão, à integração e ao intercâmbio da instituição.</w:t>
            </w:r>
          </w:p>
          <w:p w:rsidR="00075EDD" w:rsidRPr="00BD16FC" w:rsidRDefault="00075EDD" w:rsidP="00647C32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Articula</w:t>
            </w:r>
            <w:r w:rsidRPr="00BD16FC">
              <w:rPr>
                <w:bCs/>
                <w:iCs/>
              </w:rPr>
              <w:t>-se com o setor produtivo, com a sociedade em geral para a melhoria dos perfis de ingresso discente.</w:t>
            </w:r>
          </w:p>
          <w:p w:rsidR="00075EDD" w:rsidRPr="00BD16FC" w:rsidRDefault="00075EDD" w:rsidP="00647C32">
            <w:pPr>
              <w:spacing w:after="0"/>
              <w:jc w:val="center"/>
            </w:pPr>
            <w:r w:rsidRPr="00BD16FC">
              <w:rPr>
                <w:bCs/>
                <w:iCs/>
              </w:rPr>
              <w:t>Fomento e criação de políticas de acompanhamento de egressos.</w:t>
            </w:r>
          </w:p>
        </w:tc>
        <w:tc>
          <w:tcPr>
            <w:tcW w:w="1276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lastRenderedPageBreak/>
              <w:t>Extensão</w:t>
            </w:r>
          </w:p>
        </w:tc>
        <w:tc>
          <w:tcPr>
            <w:tcW w:w="1365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Atende a: Comunidade acadêmica</w:t>
            </w:r>
          </w:p>
        </w:tc>
        <w:tc>
          <w:tcPr>
            <w:tcW w:w="1494" w:type="dxa"/>
          </w:tcPr>
          <w:p w:rsidR="00075EDD" w:rsidRPr="00BD16FC" w:rsidRDefault="00075EDD" w:rsidP="00647C32">
            <w:pPr>
              <w:spacing w:after="0"/>
              <w:jc w:val="center"/>
            </w:pPr>
            <w:r w:rsidRPr="00BD16FC">
              <w:t>PROEX</w:t>
            </w:r>
          </w:p>
        </w:tc>
      </w:tr>
    </w:tbl>
    <w:p w:rsidR="00075EDD" w:rsidRPr="009416F3" w:rsidRDefault="00075EDD" w:rsidP="00075EDD">
      <w:pPr>
        <w:rPr>
          <w:i/>
          <w:szCs w:val="20"/>
        </w:rPr>
      </w:pPr>
      <w:r w:rsidRPr="009416F3">
        <w:rPr>
          <w:szCs w:val="20"/>
        </w:rPr>
        <w:lastRenderedPageBreak/>
        <w:t>Fonte: Relatório de Gestão 2014</w:t>
      </w:r>
    </w:p>
    <w:p w:rsidR="00711269" w:rsidRDefault="00711269">
      <w:bookmarkStart w:id="1" w:name="_GoBack"/>
      <w:bookmarkEnd w:id="1"/>
    </w:p>
    <w:sectPr w:rsidR="00711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22FE0"/>
    <w:multiLevelType w:val="multilevel"/>
    <w:tmpl w:val="DFA41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DD"/>
    <w:rsid w:val="00075EDD"/>
    <w:rsid w:val="00596786"/>
    <w:rsid w:val="00711269"/>
    <w:rsid w:val="00920395"/>
    <w:rsid w:val="00D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3BDE4-7FCA-41FA-920D-60067BF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DD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5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5EDD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075EDD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</cp:revision>
  <dcterms:created xsi:type="dcterms:W3CDTF">2016-01-08T17:48:00Z</dcterms:created>
  <dcterms:modified xsi:type="dcterms:W3CDTF">2016-01-08T17:48:00Z</dcterms:modified>
</cp:coreProperties>
</file>