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7E" w:rsidRDefault="001A317E" w:rsidP="001A317E">
      <w:pPr>
        <w:pStyle w:val="PargrafodaLista"/>
        <w:numPr>
          <w:ilvl w:val="1"/>
          <w:numId w:val="1"/>
        </w:numPr>
        <w:spacing w:after="0" w:line="360" w:lineRule="auto"/>
        <w:outlineLvl w:val="1"/>
        <w:rPr>
          <w:bCs/>
          <w:sz w:val="24"/>
          <w:szCs w:val="24"/>
        </w:rPr>
      </w:pPr>
      <w:bookmarkStart w:id="0" w:name="_Toc439672711"/>
      <w:r w:rsidRPr="00CE20A8">
        <w:rPr>
          <w:bCs/>
          <w:sz w:val="24"/>
          <w:szCs w:val="24"/>
        </w:rPr>
        <w:t>Apresentação e análise crítica de indicadores de desempenho</w:t>
      </w:r>
      <w:bookmarkEnd w:id="0"/>
    </w:p>
    <w:p w:rsidR="001A317E" w:rsidRPr="00F675DD" w:rsidRDefault="001A317E" w:rsidP="001A317E">
      <w:pPr>
        <w:pStyle w:val="PargrafodaLista"/>
        <w:ind w:left="0" w:firstLine="567"/>
        <w:jc w:val="both"/>
        <w:rPr>
          <w:rFonts w:eastAsia="Times New Roman"/>
          <w:bCs/>
          <w:iCs/>
          <w:noProof/>
          <w:sz w:val="24"/>
          <w:szCs w:val="24"/>
        </w:rPr>
      </w:pPr>
      <w:r w:rsidRPr="00F675DD">
        <w:rPr>
          <w:rFonts w:eastAsia="Times New Roman"/>
          <w:bCs/>
          <w:iCs/>
          <w:noProof/>
          <w:sz w:val="24"/>
          <w:szCs w:val="24"/>
        </w:rPr>
        <w:t>Este subitem tem por objeto a identificação dos resultados dos indicadores utilizados para monitorar e avaliar o desempenho operacional do IFAM, incluindo análise comparativa dos índices previstos e observados relativamente ao exercício de referência do relatório de gestão.</w:t>
      </w:r>
    </w:p>
    <w:p w:rsidR="001A317E" w:rsidRPr="00CE20A8" w:rsidRDefault="001A317E" w:rsidP="001A317E">
      <w:pPr>
        <w:pStyle w:val="PargrafodaLista"/>
        <w:spacing w:after="0" w:line="360" w:lineRule="auto"/>
        <w:ind w:left="432"/>
        <w:outlineLvl w:val="1"/>
        <w:rPr>
          <w:bCs/>
          <w:sz w:val="24"/>
          <w:szCs w:val="24"/>
        </w:rPr>
      </w:pPr>
    </w:p>
    <w:p w:rsidR="001A317E" w:rsidRDefault="001A317E" w:rsidP="001A317E">
      <w:pPr>
        <w:pStyle w:val="PargrafodaLista"/>
        <w:numPr>
          <w:ilvl w:val="2"/>
          <w:numId w:val="1"/>
        </w:numPr>
        <w:spacing w:after="0" w:line="360" w:lineRule="auto"/>
        <w:ind w:left="1224"/>
        <w:rPr>
          <w:bCs/>
          <w:sz w:val="24"/>
          <w:szCs w:val="24"/>
        </w:rPr>
      </w:pPr>
      <w:r w:rsidRPr="00CE20A8">
        <w:rPr>
          <w:bCs/>
          <w:sz w:val="24"/>
          <w:szCs w:val="24"/>
        </w:rPr>
        <w:t>Apresentação e análise dos indicadores de desempenho conforme deliberação do Tribunal de Contas da União</w:t>
      </w:r>
    </w:p>
    <w:p w:rsidR="001A317E" w:rsidRDefault="001A317E" w:rsidP="001A317E">
      <w:pPr>
        <w:pStyle w:val="Legenda"/>
        <w:keepNext/>
        <w:jc w:val="center"/>
      </w:pPr>
      <w:r>
        <w:t xml:space="preserve">Tabela </w:t>
      </w:r>
      <w:fldSimple w:instr=" SEQ Tabela \* ARABIC ">
        <w:r>
          <w:rPr>
            <w:noProof/>
          </w:rPr>
          <w:t>3</w:t>
        </w:r>
      </w:fldSimple>
      <w:r>
        <w:t xml:space="preserve"> Tabela de Indicadores</w:t>
      </w: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297"/>
        <w:gridCol w:w="1097"/>
        <w:gridCol w:w="730"/>
        <w:gridCol w:w="732"/>
        <w:gridCol w:w="732"/>
        <w:gridCol w:w="742"/>
        <w:gridCol w:w="732"/>
      </w:tblGrid>
      <w:tr w:rsidR="001A317E" w:rsidRPr="007342D2" w:rsidTr="00647C32">
        <w:trPr>
          <w:trHeight w:val="20"/>
          <w:jc w:val="center"/>
        </w:trPr>
        <w:tc>
          <w:tcPr>
            <w:tcW w:w="2220" w:type="pct"/>
            <w:gridSpan w:val="2"/>
            <w:vMerge w:val="restart"/>
            <w:shd w:val="clear" w:color="auto" w:fill="D9D9D9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Indicadores</w:t>
            </w:r>
          </w:p>
        </w:tc>
        <w:tc>
          <w:tcPr>
            <w:tcW w:w="640" w:type="pct"/>
            <w:vMerge w:val="restart"/>
            <w:shd w:val="clear" w:color="auto" w:fill="D9D9D9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Fórmula de Cálculo</w:t>
            </w:r>
          </w:p>
        </w:tc>
        <w:tc>
          <w:tcPr>
            <w:tcW w:w="2140" w:type="pct"/>
            <w:gridSpan w:val="5"/>
            <w:shd w:val="clear" w:color="auto" w:fill="D9D9D9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Exercícios</w:t>
            </w:r>
          </w:p>
        </w:tc>
      </w:tr>
      <w:tr w:rsidR="001A317E" w:rsidRPr="007342D2" w:rsidTr="00647C32">
        <w:trPr>
          <w:trHeight w:val="20"/>
          <w:jc w:val="center"/>
        </w:trPr>
        <w:tc>
          <w:tcPr>
            <w:tcW w:w="2220" w:type="pct"/>
            <w:gridSpan w:val="2"/>
            <w:vMerge/>
            <w:shd w:val="clear" w:color="auto" w:fill="D9D9D9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40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D9D9D9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427" w:type="pct"/>
            <w:shd w:val="clear" w:color="auto" w:fill="D9D9D9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2014</w:t>
            </w:r>
          </w:p>
        </w:tc>
        <w:tc>
          <w:tcPr>
            <w:tcW w:w="427" w:type="pct"/>
            <w:shd w:val="clear" w:color="auto" w:fill="D9D9D9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2013</w:t>
            </w:r>
          </w:p>
        </w:tc>
        <w:tc>
          <w:tcPr>
            <w:tcW w:w="433" w:type="pct"/>
            <w:shd w:val="clear" w:color="auto" w:fill="D9D9D9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2012</w:t>
            </w:r>
          </w:p>
        </w:tc>
        <w:tc>
          <w:tcPr>
            <w:tcW w:w="427" w:type="pct"/>
            <w:shd w:val="clear" w:color="auto" w:fill="D9D9D9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2011</w:t>
            </w:r>
          </w:p>
        </w:tc>
      </w:tr>
      <w:tr w:rsidR="001A317E" w:rsidRPr="007342D2" w:rsidTr="00647C32">
        <w:trPr>
          <w:trHeight w:hRule="exact" w:val="284"/>
          <w:jc w:val="center"/>
        </w:trPr>
        <w:tc>
          <w:tcPr>
            <w:tcW w:w="296" w:type="pct"/>
            <w:vMerge w:val="restart"/>
            <w:shd w:val="clear" w:color="auto" w:fill="F2F2F2"/>
            <w:textDirection w:val="btLr"/>
            <w:vAlign w:val="center"/>
          </w:tcPr>
          <w:p w:rsidR="001A317E" w:rsidRPr="007342D2" w:rsidRDefault="001A317E" w:rsidP="00647C32">
            <w:pPr>
              <w:ind w:left="113" w:right="113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Acadêmicos</w:t>
            </w:r>
          </w:p>
        </w:tc>
        <w:tc>
          <w:tcPr>
            <w:tcW w:w="1924" w:type="pct"/>
            <w:shd w:val="clear" w:color="auto" w:fill="F2F2F2"/>
            <w:vAlign w:val="center"/>
          </w:tcPr>
          <w:p w:rsidR="001A317E" w:rsidRPr="007342D2" w:rsidRDefault="001A317E" w:rsidP="00647C32">
            <w:pPr>
              <w:rPr>
                <w:sz w:val="16"/>
                <w:szCs w:val="16"/>
              </w:rPr>
            </w:pPr>
            <w:r w:rsidRPr="007342D2">
              <w:rPr>
                <w:color w:val="000000"/>
                <w:sz w:val="16"/>
                <w:szCs w:val="16"/>
              </w:rPr>
              <w:t>Relação Candidato/Vaga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A317E" w:rsidRPr="007342D2" w:rsidRDefault="001A317E" w:rsidP="004429DA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 xml:space="preserve">Tabela </w:t>
            </w:r>
            <w:r w:rsidR="004429DA">
              <w:rPr>
                <w:sz w:val="16"/>
                <w:szCs w:val="16"/>
              </w:rPr>
              <w:t>4</w:t>
            </w:r>
          </w:p>
        </w:tc>
        <w:tc>
          <w:tcPr>
            <w:tcW w:w="426" w:type="pct"/>
            <w:vAlign w:val="center"/>
          </w:tcPr>
          <w:p w:rsidR="001A317E" w:rsidRPr="007342D2" w:rsidRDefault="001A317E" w:rsidP="00647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3,67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jc w:val="center"/>
              <w:rPr>
                <w:b/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4,04</w:t>
            </w:r>
          </w:p>
        </w:tc>
        <w:tc>
          <w:tcPr>
            <w:tcW w:w="433" w:type="pct"/>
            <w:vAlign w:val="center"/>
          </w:tcPr>
          <w:p w:rsidR="001A317E" w:rsidRPr="007342D2" w:rsidRDefault="001A317E" w:rsidP="00647C32">
            <w:pPr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4,21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5,27</w:t>
            </w:r>
          </w:p>
        </w:tc>
      </w:tr>
      <w:tr w:rsidR="001A317E" w:rsidRPr="007342D2" w:rsidTr="00647C32">
        <w:trPr>
          <w:trHeight w:hRule="exact" w:val="284"/>
          <w:jc w:val="center"/>
        </w:trPr>
        <w:tc>
          <w:tcPr>
            <w:tcW w:w="296" w:type="pct"/>
            <w:vMerge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pct"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  <w:r w:rsidRPr="007342D2">
              <w:rPr>
                <w:color w:val="000000"/>
                <w:sz w:val="16"/>
                <w:szCs w:val="16"/>
              </w:rPr>
              <w:t>Relação Ingressos/Aluno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A317E" w:rsidRPr="007342D2" w:rsidRDefault="004429DA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Tabela 4</w:t>
            </w:r>
          </w:p>
        </w:tc>
        <w:tc>
          <w:tcPr>
            <w:tcW w:w="426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29,09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30,98</w:t>
            </w:r>
          </w:p>
        </w:tc>
        <w:tc>
          <w:tcPr>
            <w:tcW w:w="433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31,08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29,01</w:t>
            </w:r>
          </w:p>
        </w:tc>
      </w:tr>
      <w:tr w:rsidR="001A317E" w:rsidRPr="007342D2" w:rsidTr="00647C32">
        <w:trPr>
          <w:trHeight w:hRule="exact" w:val="284"/>
          <w:jc w:val="center"/>
        </w:trPr>
        <w:tc>
          <w:tcPr>
            <w:tcW w:w="296" w:type="pct"/>
            <w:vMerge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pct"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  <w:r w:rsidRPr="007342D2">
              <w:rPr>
                <w:color w:val="000000"/>
                <w:sz w:val="16"/>
                <w:szCs w:val="16"/>
              </w:rPr>
              <w:t>Relação Concluintes/Aluno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A317E" w:rsidRPr="007342D2" w:rsidRDefault="004429DA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Tabela 4</w:t>
            </w:r>
          </w:p>
        </w:tc>
        <w:tc>
          <w:tcPr>
            <w:tcW w:w="426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41,15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9,12</w:t>
            </w:r>
          </w:p>
        </w:tc>
        <w:tc>
          <w:tcPr>
            <w:tcW w:w="433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8,6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3,52</w:t>
            </w:r>
          </w:p>
        </w:tc>
      </w:tr>
      <w:tr w:rsidR="001A317E" w:rsidRPr="007342D2" w:rsidTr="00647C32">
        <w:trPr>
          <w:trHeight w:hRule="exact" w:val="284"/>
          <w:jc w:val="center"/>
        </w:trPr>
        <w:tc>
          <w:tcPr>
            <w:tcW w:w="296" w:type="pct"/>
            <w:vMerge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pct"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  <w:r w:rsidRPr="007342D2">
              <w:rPr>
                <w:color w:val="000000"/>
                <w:sz w:val="16"/>
                <w:szCs w:val="16"/>
              </w:rPr>
              <w:t>Índice de Eficiência Acadêmica – Concluintes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A317E" w:rsidRPr="007342D2" w:rsidRDefault="004429DA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Tabela 4</w:t>
            </w:r>
          </w:p>
        </w:tc>
        <w:tc>
          <w:tcPr>
            <w:tcW w:w="426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93,79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61,87</w:t>
            </w:r>
          </w:p>
        </w:tc>
        <w:tc>
          <w:tcPr>
            <w:tcW w:w="433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44,9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12,14</w:t>
            </w:r>
          </w:p>
        </w:tc>
      </w:tr>
      <w:tr w:rsidR="001A317E" w:rsidRPr="007342D2" w:rsidTr="00647C32">
        <w:trPr>
          <w:trHeight w:hRule="exact" w:val="284"/>
          <w:jc w:val="center"/>
        </w:trPr>
        <w:tc>
          <w:tcPr>
            <w:tcW w:w="296" w:type="pct"/>
            <w:vMerge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pct"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  <w:r w:rsidRPr="007342D2">
              <w:rPr>
                <w:color w:val="000000"/>
                <w:sz w:val="16"/>
                <w:szCs w:val="16"/>
              </w:rPr>
              <w:t>Índice de Retenção do Fluxo Escolar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A317E" w:rsidRPr="007342D2" w:rsidRDefault="004429DA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Tabela 4</w:t>
            </w:r>
          </w:p>
        </w:tc>
        <w:tc>
          <w:tcPr>
            <w:tcW w:w="426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13,54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51,24</w:t>
            </w:r>
          </w:p>
        </w:tc>
        <w:tc>
          <w:tcPr>
            <w:tcW w:w="433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50,1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20,83</w:t>
            </w:r>
          </w:p>
        </w:tc>
      </w:tr>
      <w:tr w:rsidR="001A317E" w:rsidRPr="007342D2" w:rsidTr="00647C32">
        <w:trPr>
          <w:trHeight w:hRule="exact" w:val="284"/>
          <w:jc w:val="center"/>
        </w:trPr>
        <w:tc>
          <w:tcPr>
            <w:tcW w:w="296" w:type="pct"/>
            <w:vMerge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pct"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  <w:r w:rsidRPr="007342D2">
              <w:rPr>
                <w:color w:val="000000"/>
                <w:sz w:val="16"/>
                <w:szCs w:val="16"/>
              </w:rPr>
              <w:t>Relação de Alunos/Docente em Tempo Integral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A317E" w:rsidRPr="007342D2" w:rsidRDefault="004429DA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Tabela 4</w:t>
            </w:r>
          </w:p>
        </w:tc>
        <w:tc>
          <w:tcPr>
            <w:tcW w:w="426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33,21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36,66</w:t>
            </w:r>
          </w:p>
        </w:tc>
        <w:tc>
          <w:tcPr>
            <w:tcW w:w="433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35,12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28,02</w:t>
            </w:r>
          </w:p>
        </w:tc>
      </w:tr>
      <w:tr w:rsidR="001A317E" w:rsidRPr="007342D2" w:rsidTr="00647C32">
        <w:trPr>
          <w:trHeight w:hRule="exact" w:val="284"/>
          <w:jc w:val="center"/>
        </w:trPr>
        <w:tc>
          <w:tcPr>
            <w:tcW w:w="296" w:type="pct"/>
            <w:vMerge w:val="restart"/>
            <w:shd w:val="clear" w:color="auto" w:fill="F2F2F2"/>
            <w:textDirection w:val="btLr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342D2">
              <w:rPr>
                <w:bCs/>
                <w:sz w:val="16"/>
                <w:szCs w:val="16"/>
              </w:rPr>
              <w:t>Administrativos</w:t>
            </w:r>
          </w:p>
        </w:tc>
        <w:tc>
          <w:tcPr>
            <w:tcW w:w="1924" w:type="pct"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both"/>
              <w:rPr>
                <w:bCs/>
                <w:sz w:val="16"/>
                <w:szCs w:val="16"/>
              </w:rPr>
            </w:pPr>
            <w:r w:rsidRPr="007342D2">
              <w:rPr>
                <w:color w:val="000000"/>
                <w:sz w:val="16"/>
                <w:szCs w:val="16"/>
              </w:rPr>
              <w:t>Gastos Correntes por Aluno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A317E" w:rsidRPr="007342D2" w:rsidRDefault="004429DA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Tabela 4</w:t>
            </w:r>
          </w:p>
        </w:tc>
        <w:tc>
          <w:tcPr>
            <w:tcW w:w="426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8.172,82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8.056,97</w:t>
            </w:r>
          </w:p>
        </w:tc>
        <w:tc>
          <w:tcPr>
            <w:tcW w:w="433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6.604,80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7.467,51</w:t>
            </w:r>
          </w:p>
        </w:tc>
      </w:tr>
      <w:tr w:rsidR="001A317E" w:rsidRPr="007342D2" w:rsidTr="00647C32">
        <w:trPr>
          <w:trHeight w:hRule="exact" w:val="284"/>
          <w:jc w:val="center"/>
        </w:trPr>
        <w:tc>
          <w:tcPr>
            <w:tcW w:w="296" w:type="pct"/>
            <w:vMerge/>
            <w:shd w:val="clear" w:color="auto" w:fill="F2F2F2"/>
            <w:textDirection w:val="btLr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4" w:type="pct"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both"/>
              <w:rPr>
                <w:bCs/>
                <w:sz w:val="16"/>
                <w:szCs w:val="16"/>
              </w:rPr>
            </w:pPr>
            <w:r w:rsidRPr="007342D2">
              <w:rPr>
                <w:color w:val="000000"/>
                <w:sz w:val="16"/>
                <w:szCs w:val="16"/>
              </w:rPr>
              <w:t>Percentual de Gastos com Pessoal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A317E" w:rsidRPr="007342D2" w:rsidRDefault="004429DA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Tabela 4</w:t>
            </w:r>
          </w:p>
        </w:tc>
        <w:tc>
          <w:tcPr>
            <w:tcW w:w="426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71,30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55,01</w:t>
            </w:r>
          </w:p>
        </w:tc>
        <w:tc>
          <w:tcPr>
            <w:tcW w:w="433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55,49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56,40</w:t>
            </w:r>
          </w:p>
        </w:tc>
      </w:tr>
      <w:tr w:rsidR="001A317E" w:rsidRPr="007342D2" w:rsidTr="00647C32">
        <w:trPr>
          <w:trHeight w:hRule="exact" w:val="284"/>
          <w:jc w:val="center"/>
        </w:trPr>
        <w:tc>
          <w:tcPr>
            <w:tcW w:w="296" w:type="pct"/>
            <w:vMerge/>
            <w:shd w:val="clear" w:color="auto" w:fill="F2F2F2"/>
            <w:textDirection w:val="btLr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4" w:type="pct"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both"/>
              <w:rPr>
                <w:bCs/>
                <w:sz w:val="16"/>
                <w:szCs w:val="16"/>
              </w:rPr>
            </w:pPr>
            <w:r w:rsidRPr="007342D2">
              <w:rPr>
                <w:color w:val="000000"/>
                <w:sz w:val="16"/>
                <w:szCs w:val="16"/>
              </w:rPr>
              <w:t>Percentual de Gastos com outros Custeios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A317E" w:rsidRPr="007342D2" w:rsidRDefault="004429DA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Tabela 4</w:t>
            </w:r>
          </w:p>
        </w:tc>
        <w:tc>
          <w:tcPr>
            <w:tcW w:w="426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23,94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22,60</w:t>
            </w:r>
          </w:p>
        </w:tc>
        <w:tc>
          <w:tcPr>
            <w:tcW w:w="433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24,21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26,50</w:t>
            </w:r>
          </w:p>
        </w:tc>
      </w:tr>
      <w:tr w:rsidR="001A317E" w:rsidRPr="007342D2" w:rsidTr="00647C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69"/>
          <w:jc w:val="center"/>
        </w:trPr>
        <w:tc>
          <w:tcPr>
            <w:tcW w:w="296" w:type="pct"/>
            <w:vMerge/>
            <w:shd w:val="clear" w:color="auto" w:fill="F2F2F2"/>
            <w:textDirection w:val="btLr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4" w:type="pct"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both"/>
              <w:rPr>
                <w:bCs/>
                <w:sz w:val="16"/>
                <w:szCs w:val="16"/>
              </w:rPr>
            </w:pPr>
            <w:r w:rsidRPr="007342D2">
              <w:rPr>
                <w:color w:val="000000"/>
                <w:sz w:val="16"/>
                <w:szCs w:val="16"/>
              </w:rPr>
              <w:t>Percentual de Gastos com Investimentos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A317E" w:rsidRPr="007342D2" w:rsidRDefault="004429DA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Tabela 4</w:t>
            </w:r>
          </w:p>
        </w:tc>
        <w:tc>
          <w:tcPr>
            <w:tcW w:w="426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4,76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22,39</w:t>
            </w:r>
          </w:p>
        </w:tc>
        <w:tc>
          <w:tcPr>
            <w:tcW w:w="433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17,55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19,38</w:t>
            </w:r>
          </w:p>
        </w:tc>
      </w:tr>
      <w:tr w:rsidR="001A317E" w:rsidRPr="007342D2" w:rsidTr="00647C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91"/>
          <w:jc w:val="center"/>
        </w:trPr>
        <w:tc>
          <w:tcPr>
            <w:tcW w:w="296" w:type="pct"/>
            <w:vMerge w:val="restart"/>
            <w:shd w:val="clear" w:color="auto" w:fill="F2F2F2"/>
            <w:textDirection w:val="btLr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342D2">
              <w:rPr>
                <w:bCs/>
                <w:sz w:val="16"/>
                <w:szCs w:val="16"/>
              </w:rPr>
              <w:t>Socioeconômico</w:t>
            </w:r>
          </w:p>
        </w:tc>
        <w:tc>
          <w:tcPr>
            <w:tcW w:w="1924" w:type="pct"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both"/>
              <w:rPr>
                <w:bCs/>
                <w:sz w:val="16"/>
                <w:szCs w:val="16"/>
              </w:rPr>
            </w:pPr>
            <w:r w:rsidRPr="007342D2">
              <w:rPr>
                <w:color w:val="000000"/>
                <w:sz w:val="16"/>
                <w:szCs w:val="16"/>
              </w:rPr>
              <w:t>Número de Alunos Matriculados por Renda per Capita Familiar (0 – 0,5SM)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  <w:r w:rsidRPr="007342D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57,95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66,48</w:t>
            </w:r>
          </w:p>
        </w:tc>
        <w:tc>
          <w:tcPr>
            <w:tcW w:w="433" w:type="pct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 xml:space="preserve">       53,43   </w:t>
            </w:r>
          </w:p>
        </w:tc>
        <w:tc>
          <w:tcPr>
            <w:tcW w:w="427" w:type="pct"/>
          </w:tcPr>
          <w:p w:rsidR="001A317E" w:rsidRPr="007342D2" w:rsidRDefault="001A317E" w:rsidP="00647C32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 xml:space="preserve">       7,42   </w:t>
            </w:r>
          </w:p>
        </w:tc>
      </w:tr>
      <w:tr w:rsidR="001A317E" w:rsidRPr="007342D2" w:rsidTr="00647C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24"/>
          <w:jc w:val="center"/>
        </w:trPr>
        <w:tc>
          <w:tcPr>
            <w:tcW w:w="296" w:type="pct"/>
            <w:vMerge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4" w:type="pct"/>
            <w:shd w:val="clear" w:color="auto" w:fill="F2F2F2"/>
          </w:tcPr>
          <w:p w:rsidR="001A317E" w:rsidRPr="007342D2" w:rsidRDefault="001A317E" w:rsidP="00647C32">
            <w:pPr>
              <w:rPr>
                <w:color w:val="000000"/>
                <w:sz w:val="16"/>
                <w:szCs w:val="16"/>
              </w:rPr>
            </w:pPr>
            <w:r w:rsidRPr="007342D2">
              <w:rPr>
                <w:color w:val="000000"/>
                <w:sz w:val="16"/>
                <w:szCs w:val="16"/>
              </w:rPr>
              <w:t xml:space="preserve">Número de Alunos Matriculados por Renda per Capita Familiar (0,5 – 1SM) 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  <w:r w:rsidRPr="007342D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30,54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24,62</w:t>
            </w:r>
          </w:p>
        </w:tc>
        <w:tc>
          <w:tcPr>
            <w:tcW w:w="433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30.99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13,09</w:t>
            </w:r>
          </w:p>
        </w:tc>
      </w:tr>
      <w:tr w:rsidR="001A317E" w:rsidRPr="007342D2" w:rsidTr="00647C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17"/>
          <w:jc w:val="center"/>
        </w:trPr>
        <w:tc>
          <w:tcPr>
            <w:tcW w:w="296" w:type="pct"/>
            <w:vMerge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4" w:type="pct"/>
            <w:shd w:val="clear" w:color="auto" w:fill="F2F2F2"/>
          </w:tcPr>
          <w:p w:rsidR="001A317E" w:rsidRPr="007342D2" w:rsidRDefault="001A317E" w:rsidP="00647C32">
            <w:pPr>
              <w:rPr>
                <w:color w:val="000000"/>
                <w:sz w:val="16"/>
                <w:szCs w:val="16"/>
              </w:rPr>
            </w:pPr>
            <w:r w:rsidRPr="007342D2">
              <w:rPr>
                <w:color w:val="000000"/>
                <w:sz w:val="16"/>
                <w:szCs w:val="16"/>
              </w:rPr>
              <w:t xml:space="preserve">Número de Alunos Matriculados por Renda per Capita Familiar (1 – 1,5SM) 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  <w:r w:rsidRPr="007342D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9,81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8,79</w:t>
            </w:r>
          </w:p>
        </w:tc>
        <w:tc>
          <w:tcPr>
            <w:tcW w:w="433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11.01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27,15</w:t>
            </w:r>
          </w:p>
        </w:tc>
      </w:tr>
      <w:tr w:rsidR="001A317E" w:rsidRPr="007342D2" w:rsidTr="00647C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23"/>
          <w:jc w:val="center"/>
        </w:trPr>
        <w:tc>
          <w:tcPr>
            <w:tcW w:w="296" w:type="pct"/>
            <w:vMerge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4" w:type="pct"/>
            <w:shd w:val="clear" w:color="auto" w:fill="F2F2F2"/>
          </w:tcPr>
          <w:p w:rsidR="001A317E" w:rsidRPr="007342D2" w:rsidRDefault="001A317E" w:rsidP="00647C32">
            <w:pPr>
              <w:rPr>
                <w:color w:val="000000"/>
                <w:sz w:val="16"/>
                <w:szCs w:val="16"/>
              </w:rPr>
            </w:pPr>
            <w:r w:rsidRPr="007342D2">
              <w:rPr>
                <w:color w:val="000000"/>
                <w:sz w:val="16"/>
                <w:szCs w:val="16"/>
              </w:rPr>
              <w:t xml:space="preserve">Número de Alunos Matriculados por Renda per Capita Familiar (1,5 – 2,5SM) 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  <w:r w:rsidRPr="007342D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1,49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0,11</w:t>
            </w:r>
          </w:p>
        </w:tc>
        <w:tc>
          <w:tcPr>
            <w:tcW w:w="433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3,05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22,66</w:t>
            </w:r>
          </w:p>
        </w:tc>
      </w:tr>
      <w:tr w:rsidR="001A317E" w:rsidRPr="007342D2" w:rsidTr="00647C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15"/>
          <w:jc w:val="center"/>
        </w:trPr>
        <w:tc>
          <w:tcPr>
            <w:tcW w:w="296" w:type="pct"/>
            <w:vMerge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4" w:type="pct"/>
            <w:shd w:val="clear" w:color="auto" w:fill="F2F2F2"/>
          </w:tcPr>
          <w:p w:rsidR="001A317E" w:rsidRPr="007342D2" w:rsidRDefault="001A317E" w:rsidP="00647C32">
            <w:pPr>
              <w:rPr>
                <w:color w:val="000000"/>
                <w:sz w:val="16"/>
                <w:szCs w:val="16"/>
              </w:rPr>
            </w:pPr>
            <w:r w:rsidRPr="007342D2">
              <w:rPr>
                <w:color w:val="000000"/>
                <w:sz w:val="16"/>
                <w:szCs w:val="16"/>
              </w:rPr>
              <w:t xml:space="preserve">Número de Alunos Matriculados por Renda per Capita Familiar (2,5 – 3SM) 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  <w:r w:rsidRPr="007342D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0,16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0</w:t>
            </w:r>
          </w:p>
        </w:tc>
        <w:tc>
          <w:tcPr>
            <w:tcW w:w="433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0,96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8,20</w:t>
            </w:r>
          </w:p>
        </w:tc>
      </w:tr>
      <w:tr w:rsidR="001A317E" w:rsidRPr="007342D2" w:rsidTr="00647C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20"/>
          <w:jc w:val="center"/>
        </w:trPr>
        <w:tc>
          <w:tcPr>
            <w:tcW w:w="296" w:type="pct"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br w:type="page"/>
            </w:r>
          </w:p>
        </w:tc>
        <w:tc>
          <w:tcPr>
            <w:tcW w:w="1924" w:type="pct"/>
            <w:shd w:val="clear" w:color="auto" w:fill="F2F2F2"/>
          </w:tcPr>
          <w:p w:rsidR="001A317E" w:rsidRPr="007342D2" w:rsidRDefault="001A317E" w:rsidP="00647C32">
            <w:pPr>
              <w:rPr>
                <w:color w:val="000000"/>
                <w:sz w:val="16"/>
                <w:szCs w:val="16"/>
              </w:rPr>
            </w:pPr>
            <w:r w:rsidRPr="007342D2">
              <w:rPr>
                <w:color w:val="000000"/>
                <w:sz w:val="16"/>
                <w:szCs w:val="16"/>
              </w:rPr>
              <w:t xml:space="preserve">Número de Alunos Matriculados por Renda per Capita Familiar (Acima de 3SM) 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  <w:r w:rsidRPr="007342D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0,03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0</w:t>
            </w:r>
          </w:p>
        </w:tc>
        <w:tc>
          <w:tcPr>
            <w:tcW w:w="433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0,57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21,48</w:t>
            </w:r>
          </w:p>
        </w:tc>
      </w:tr>
      <w:tr w:rsidR="001A317E" w:rsidRPr="007342D2" w:rsidTr="00647C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1134"/>
          <w:jc w:val="center"/>
        </w:trPr>
        <w:tc>
          <w:tcPr>
            <w:tcW w:w="296" w:type="pct"/>
            <w:shd w:val="clear" w:color="auto" w:fill="F2F2F2"/>
            <w:textDirection w:val="btLr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342D2">
              <w:rPr>
                <w:bCs/>
                <w:sz w:val="16"/>
                <w:szCs w:val="16"/>
              </w:rPr>
              <w:t>Gestão de Pessoas</w:t>
            </w:r>
          </w:p>
        </w:tc>
        <w:tc>
          <w:tcPr>
            <w:tcW w:w="1924" w:type="pct"/>
            <w:shd w:val="clear" w:color="auto" w:fill="F2F2F2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both"/>
              <w:rPr>
                <w:bCs/>
                <w:sz w:val="16"/>
                <w:szCs w:val="16"/>
              </w:rPr>
            </w:pPr>
            <w:r w:rsidRPr="007342D2">
              <w:rPr>
                <w:color w:val="000000"/>
                <w:sz w:val="16"/>
                <w:szCs w:val="16"/>
              </w:rPr>
              <w:t>Índice de Titulação do Corpo Docente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  <w:r w:rsidRPr="007342D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3,28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3,27</w:t>
            </w:r>
          </w:p>
        </w:tc>
        <w:tc>
          <w:tcPr>
            <w:tcW w:w="433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3,24</w:t>
            </w:r>
          </w:p>
        </w:tc>
        <w:tc>
          <w:tcPr>
            <w:tcW w:w="427" w:type="pct"/>
            <w:vAlign w:val="center"/>
          </w:tcPr>
          <w:p w:rsidR="001A317E" w:rsidRPr="007342D2" w:rsidRDefault="001A317E" w:rsidP="00647C32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7342D2">
              <w:rPr>
                <w:sz w:val="16"/>
                <w:szCs w:val="16"/>
              </w:rPr>
              <w:t>3,30</w:t>
            </w:r>
          </w:p>
        </w:tc>
      </w:tr>
    </w:tbl>
    <w:p w:rsidR="001A317E" w:rsidRDefault="001A317E" w:rsidP="001A317E">
      <w:pPr>
        <w:spacing w:after="0"/>
        <w:rPr>
          <w:szCs w:val="20"/>
        </w:rPr>
      </w:pPr>
      <w:r w:rsidRPr="008D6974">
        <w:rPr>
          <w:szCs w:val="20"/>
        </w:rPr>
        <w:t>Obs.:</w:t>
      </w:r>
      <w:r>
        <w:rPr>
          <w:szCs w:val="20"/>
        </w:rPr>
        <w:t xml:space="preserve"> A fórmula de Cálculo corresponde às linhas da Tabela 4</w:t>
      </w:r>
    </w:p>
    <w:p w:rsidR="001A317E" w:rsidRDefault="001A317E" w:rsidP="001A317E">
      <w:pPr>
        <w:spacing w:after="0"/>
        <w:rPr>
          <w:szCs w:val="20"/>
        </w:rPr>
      </w:pPr>
      <w:r>
        <w:rPr>
          <w:szCs w:val="20"/>
        </w:rPr>
        <w:t>Fonte: DEPI, PROEN e PROAD</w:t>
      </w:r>
    </w:p>
    <w:p w:rsidR="001A317E" w:rsidRDefault="001A317E" w:rsidP="001A317E">
      <w:pPr>
        <w:spacing w:after="0"/>
        <w:rPr>
          <w:szCs w:val="20"/>
        </w:rPr>
      </w:pPr>
    </w:p>
    <w:p w:rsidR="001A317E" w:rsidRDefault="001A317E" w:rsidP="001A317E">
      <w:pPr>
        <w:spacing w:after="0"/>
        <w:rPr>
          <w:szCs w:val="20"/>
        </w:rPr>
      </w:pPr>
    </w:p>
    <w:p w:rsidR="001A317E" w:rsidRDefault="001A317E" w:rsidP="001A317E">
      <w:pPr>
        <w:spacing w:after="0"/>
        <w:rPr>
          <w:szCs w:val="20"/>
        </w:rPr>
      </w:pPr>
    </w:p>
    <w:p w:rsidR="001A317E" w:rsidRDefault="001A317E" w:rsidP="001A317E">
      <w:pPr>
        <w:spacing w:after="0"/>
        <w:rPr>
          <w:szCs w:val="20"/>
        </w:rPr>
      </w:pPr>
    </w:p>
    <w:p w:rsidR="001A317E" w:rsidRDefault="001A317E" w:rsidP="001A317E">
      <w:pPr>
        <w:spacing w:after="0"/>
        <w:rPr>
          <w:szCs w:val="20"/>
        </w:rPr>
      </w:pPr>
    </w:p>
    <w:p w:rsidR="001A317E" w:rsidRDefault="001A317E" w:rsidP="001A317E">
      <w:pPr>
        <w:spacing w:after="0"/>
        <w:rPr>
          <w:szCs w:val="20"/>
        </w:rPr>
      </w:pPr>
    </w:p>
    <w:p w:rsidR="001A317E" w:rsidRDefault="001A317E" w:rsidP="001A317E">
      <w:pPr>
        <w:spacing w:after="0"/>
        <w:rPr>
          <w:szCs w:val="20"/>
        </w:rPr>
      </w:pPr>
    </w:p>
    <w:p w:rsidR="001A317E" w:rsidRDefault="001A317E" w:rsidP="001A317E">
      <w:pPr>
        <w:spacing w:after="0"/>
        <w:rPr>
          <w:szCs w:val="20"/>
        </w:rPr>
      </w:pPr>
    </w:p>
    <w:p w:rsidR="001A317E" w:rsidRDefault="001A317E" w:rsidP="001A317E">
      <w:pPr>
        <w:spacing w:after="0"/>
        <w:rPr>
          <w:szCs w:val="20"/>
        </w:rPr>
      </w:pPr>
    </w:p>
    <w:p w:rsidR="001A317E" w:rsidRDefault="001A317E" w:rsidP="001A317E">
      <w:pPr>
        <w:spacing w:after="0"/>
        <w:rPr>
          <w:szCs w:val="20"/>
        </w:rPr>
      </w:pPr>
    </w:p>
    <w:p w:rsidR="001A317E" w:rsidRDefault="001A317E" w:rsidP="001A317E">
      <w:pPr>
        <w:pStyle w:val="Legenda"/>
        <w:keepNext/>
        <w:jc w:val="center"/>
      </w:pPr>
      <w:r>
        <w:lastRenderedPageBreak/>
        <w:t xml:space="preserve">Tabela </w:t>
      </w:r>
      <w:fldSimple w:instr=" SEQ Tabela \* ARABIC ">
        <w:r>
          <w:rPr>
            <w:noProof/>
          </w:rPr>
          <w:t>4</w:t>
        </w:r>
      </w:fldSimple>
      <w:r>
        <w:t xml:space="preserve"> Fórmula de Cálculo dos Indicadores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155"/>
        <w:gridCol w:w="5600"/>
      </w:tblGrid>
      <w:tr w:rsidR="001A317E" w:rsidRPr="006D6935" w:rsidTr="00647C32">
        <w:trPr>
          <w:trHeight w:hRule="exact" w:val="227"/>
          <w:jc w:val="center"/>
        </w:trPr>
        <w:tc>
          <w:tcPr>
            <w:tcW w:w="1676" w:type="pct"/>
            <w:gridSpan w:val="2"/>
            <w:vMerge w:val="restart"/>
            <w:shd w:val="clear" w:color="auto" w:fill="D9D9D9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b/>
                <w:szCs w:val="20"/>
              </w:rPr>
            </w:pPr>
            <w:r w:rsidRPr="00BA3D8D">
              <w:rPr>
                <w:b/>
                <w:szCs w:val="20"/>
              </w:rPr>
              <w:t>Indicadores</w:t>
            </w:r>
          </w:p>
        </w:tc>
        <w:tc>
          <w:tcPr>
            <w:tcW w:w="3324" w:type="pct"/>
            <w:vMerge w:val="restart"/>
            <w:shd w:val="clear" w:color="auto" w:fill="D9D9D9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b/>
                <w:szCs w:val="20"/>
              </w:rPr>
            </w:pPr>
            <w:r w:rsidRPr="00BA3D8D">
              <w:rPr>
                <w:b/>
                <w:szCs w:val="20"/>
              </w:rPr>
              <w:t>Fórmula de Cálculo</w:t>
            </w:r>
          </w:p>
        </w:tc>
      </w:tr>
      <w:tr w:rsidR="001A317E" w:rsidRPr="006D6935" w:rsidTr="00647C32">
        <w:trPr>
          <w:trHeight w:val="464"/>
          <w:jc w:val="center"/>
        </w:trPr>
        <w:tc>
          <w:tcPr>
            <w:tcW w:w="1676" w:type="pct"/>
            <w:gridSpan w:val="2"/>
            <w:vMerge/>
            <w:shd w:val="clear" w:color="auto" w:fill="D9D9D9"/>
          </w:tcPr>
          <w:p w:rsidR="001A317E" w:rsidRPr="00BA3D8D" w:rsidRDefault="001A317E" w:rsidP="00647C32">
            <w:pPr>
              <w:tabs>
                <w:tab w:val="left" w:pos="3119"/>
              </w:tabs>
              <w:rPr>
                <w:szCs w:val="20"/>
              </w:rPr>
            </w:pPr>
          </w:p>
        </w:tc>
        <w:tc>
          <w:tcPr>
            <w:tcW w:w="3324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1A317E" w:rsidRPr="00BA3D8D" w:rsidRDefault="001A317E" w:rsidP="00647C32">
            <w:pPr>
              <w:tabs>
                <w:tab w:val="left" w:pos="3119"/>
              </w:tabs>
              <w:rPr>
                <w:szCs w:val="20"/>
              </w:rPr>
            </w:pPr>
          </w:p>
        </w:tc>
      </w:tr>
      <w:tr w:rsidR="001A317E" w:rsidRPr="006D6935" w:rsidTr="00647C32">
        <w:trPr>
          <w:trHeight w:val="387"/>
          <w:jc w:val="center"/>
        </w:trPr>
        <w:tc>
          <w:tcPr>
            <w:tcW w:w="397" w:type="pct"/>
            <w:vMerge w:val="restart"/>
            <w:shd w:val="clear" w:color="auto" w:fill="F2F2F2"/>
            <w:textDirection w:val="btLr"/>
            <w:vAlign w:val="center"/>
          </w:tcPr>
          <w:p w:rsidR="001A317E" w:rsidRPr="00BA3D8D" w:rsidRDefault="001A317E" w:rsidP="00647C32">
            <w:pPr>
              <w:spacing w:line="360" w:lineRule="auto"/>
              <w:ind w:left="113" w:right="113"/>
              <w:jc w:val="center"/>
              <w:rPr>
                <w:szCs w:val="20"/>
              </w:rPr>
            </w:pPr>
            <w:r w:rsidRPr="00BA3D8D">
              <w:rPr>
                <w:szCs w:val="20"/>
              </w:rPr>
              <w:t>Acadêmicos</w:t>
            </w:r>
          </w:p>
        </w:tc>
        <w:tc>
          <w:tcPr>
            <w:tcW w:w="1279" w:type="pct"/>
            <w:shd w:val="clear" w:color="auto" w:fill="F2F2F2"/>
            <w:vAlign w:val="center"/>
          </w:tcPr>
          <w:p w:rsidR="001A317E" w:rsidRPr="00BA3D8D" w:rsidRDefault="001A317E" w:rsidP="00647C32">
            <w:pPr>
              <w:rPr>
                <w:szCs w:val="20"/>
              </w:rPr>
            </w:pPr>
            <w:r w:rsidRPr="00BA3D8D">
              <w:rPr>
                <w:color w:val="000000"/>
                <w:szCs w:val="20"/>
              </w:rPr>
              <w:t>Relação Candidato/Vaga</w:t>
            </w:r>
          </w:p>
        </w:tc>
        <w:tc>
          <w:tcPr>
            <w:tcW w:w="3324" w:type="pct"/>
            <w:shd w:val="clear" w:color="auto" w:fill="auto"/>
            <w:vAlign w:val="center"/>
          </w:tcPr>
          <w:p w:rsidR="001A317E" w:rsidRPr="00BA3D8D" w:rsidRDefault="001A317E" w:rsidP="00647C32">
            <w:pPr>
              <w:spacing w:line="360" w:lineRule="auto"/>
              <w:jc w:val="center"/>
              <w:rPr>
                <w:szCs w:val="20"/>
              </w:rPr>
            </w:pPr>
            <w:r w:rsidRPr="00F638B2">
              <w:rPr>
                <w:szCs w:val="20"/>
              </w:rPr>
              <w:object w:dxaOrig="901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21.75pt" o:ole="">
                  <v:imagedata r:id="rId5" o:title=""/>
                </v:shape>
                <o:OLEObject Type="Embed" ProgID="PBrush" ShapeID="_x0000_i1025" DrawAspect="Content" ObjectID="_1513768884" r:id="rId6"/>
              </w:object>
            </w:r>
          </w:p>
        </w:tc>
      </w:tr>
      <w:tr w:rsidR="001A317E" w:rsidRPr="006D6935" w:rsidTr="00647C32">
        <w:trPr>
          <w:trHeight w:val="284"/>
          <w:jc w:val="center"/>
        </w:trPr>
        <w:tc>
          <w:tcPr>
            <w:tcW w:w="397" w:type="pct"/>
            <w:vMerge/>
            <w:shd w:val="clear" w:color="auto" w:fill="F2F2F2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szCs w:val="20"/>
              </w:rPr>
            </w:pPr>
          </w:p>
        </w:tc>
        <w:tc>
          <w:tcPr>
            <w:tcW w:w="1279" w:type="pct"/>
            <w:shd w:val="clear" w:color="auto" w:fill="F2F2F2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rPr>
                <w:szCs w:val="20"/>
              </w:rPr>
            </w:pPr>
            <w:r w:rsidRPr="00BA3D8D">
              <w:rPr>
                <w:color w:val="000000"/>
                <w:szCs w:val="20"/>
              </w:rPr>
              <w:t>Relação Ingressos/Aluno</w:t>
            </w:r>
          </w:p>
        </w:tc>
        <w:tc>
          <w:tcPr>
            <w:tcW w:w="3324" w:type="pct"/>
            <w:shd w:val="clear" w:color="auto" w:fill="auto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szCs w:val="20"/>
              </w:rPr>
            </w:pPr>
            <w:r w:rsidRPr="00F638B2">
              <w:rPr>
                <w:szCs w:val="20"/>
              </w:rPr>
              <w:object w:dxaOrig="9300" w:dyaOrig="1335">
                <v:shape id="_x0000_i1026" type="#_x0000_t75" style="width:129.75pt;height:21.75pt" o:ole="">
                  <v:imagedata r:id="rId7" o:title=""/>
                </v:shape>
                <o:OLEObject Type="Embed" ProgID="PBrush" ShapeID="_x0000_i1026" DrawAspect="Content" ObjectID="_1513768885" r:id="rId8"/>
              </w:object>
            </w:r>
          </w:p>
        </w:tc>
      </w:tr>
      <w:tr w:rsidR="001A317E" w:rsidRPr="006D6935" w:rsidTr="00647C32">
        <w:trPr>
          <w:trHeight w:val="284"/>
          <w:jc w:val="center"/>
        </w:trPr>
        <w:tc>
          <w:tcPr>
            <w:tcW w:w="397" w:type="pct"/>
            <w:vMerge/>
            <w:shd w:val="clear" w:color="auto" w:fill="F2F2F2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szCs w:val="20"/>
              </w:rPr>
            </w:pPr>
          </w:p>
        </w:tc>
        <w:tc>
          <w:tcPr>
            <w:tcW w:w="1279" w:type="pct"/>
            <w:shd w:val="clear" w:color="auto" w:fill="F2F2F2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rPr>
                <w:szCs w:val="20"/>
              </w:rPr>
            </w:pPr>
            <w:r w:rsidRPr="00BA3D8D">
              <w:rPr>
                <w:color w:val="000000"/>
                <w:szCs w:val="20"/>
              </w:rPr>
              <w:t>Relação Concluintes/Aluno</w:t>
            </w:r>
          </w:p>
        </w:tc>
        <w:tc>
          <w:tcPr>
            <w:tcW w:w="3324" w:type="pct"/>
            <w:shd w:val="clear" w:color="auto" w:fill="auto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right"/>
              <w:rPr>
                <w:szCs w:val="20"/>
              </w:rPr>
            </w:pPr>
            <w:r w:rsidRPr="00F638B2">
              <w:rPr>
                <w:szCs w:val="20"/>
              </w:rPr>
              <w:object w:dxaOrig="18150" w:dyaOrig="1290">
                <v:shape id="_x0000_i1027" type="#_x0000_t75" style="width:267pt;height:21.75pt" o:ole="">
                  <v:imagedata r:id="rId9" o:title=""/>
                </v:shape>
                <o:OLEObject Type="Embed" ProgID="PBrush" ShapeID="_x0000_i1027" DrawAspect="Content" ObjectID="_1513768886" r:id="rId10"/>
              </w:object>
            </w:r>
          </w:p>
        </w:tc>
      </w:tr>
      <w:tr w:rsidR="001A317E" w:rsidRPr="006D6935" w:rsidTr="00647C32">
        <w:trPr>
          <w:trHeight w:val="284"/>
          <w:jc w:val="center"/>
        </w:trPr>
        <w:tc>
          <w:tcPr>
            <w:tcW w:w="397" w:type="pct"/>
            <w:vMerge/>
            <w:shd w:val="clear" w:color="auto" w:fill="F2F2F2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szCs w:val="20"/>
              </w:rPr>
            </w:pPr>
          </w:p>
        </w:tc>
        <w:tc>
          <w:tcPr>
            <w:tcW w:w="1279" w:type="pct"/>
            <w:shd w:val="clear" w:color="auto" w:fill="F2F2F2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rPr>
                <w:szCs w:val="20"/>
              </w:rPr>
            </w:pPr>
            <w:r w:rsidRPr="00BA3D8D">
              <w:rPr>
                <w:color w:val="000000"/>
                <w:szCs w:val="20"/>
              </w:rPr>
              <w:t>Índice de Eficiência Acadêmica - Concluintes</w:t>
            </w:r>
          </w:p>
        </w:tc>
        <w:tc>
          <w:tcPr>
            <w:tcW w:w="3324" w:type="pct"/>
            <w:shd w:val="clear" w:color="auto" w:fill="auto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szCs w:val="20"/>
              </w:rPr>
            </w:pPr>
            <w:r w:rsidRPr="00F638B2">
              <w:rPr>
                <w:szCs w:val="20"/>
              </w:rPr>
              <w:object w:dxaOrig="13860" w:dyaOrig="1440">
                <v:shape id="_x0000_i1028" type="#_x0000_t75" style="width:180pt;height:21.75pt" o:ole="">
                  <v:imagedata r:id="rId11" o:title=""/>
                </v:shape>
                <o:OLEObject Type="Embed" ProgID="PBrush" ShapeID="_x0000_i1028" DrawAspect="Content" ObjectID="_1513768887" r:id="rId12"/>
              </w:object>
            </w:r>
          </w:p>
        </w:tc>
      </w:tr>
      <w:tr w:rsidR="001A317E" w:rsidRPr="006D6935" w:rsidTr="00647C32">
        <w:trPr>
          <w:trHeight w:val="284"/>
          <w:jc w:val="center"/>
        </w:trPr>
        <w:tc>
          <w:tcPr>
            <w:tcW w:w="397" w:type="pct"/>
            <w:vMerge/>
            <w:shd w:val="clear" w:color="auto" w:fill="F2F2F2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szCs w:val="20"/>
              </w:rPr>
            </w:pPr>
          </w:p>
        </w:tc>
        <w:tc>
          <w:tcPr>
            <w:tcW w:w="1279" w:type="pct"/>
            <w:shd w:val="clear" w:color="auto" w:fill="F2F2F2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rPr>
                <w:szCs w:val="20"/>
              </w:rPr>
            </w:pPr>
            <w:r w:rsidRPr="00BA3D8D">
              <w:rPr>
                <w:color w:val="000000"/>
                <w:szCs w:val="20"/>
              </w:rPr>
              <w:t>Índice de Retenção do Fluxo Escolar</w:t>
            </w:r>
          </w:p>
        </w:tc>
        <w:tc>
          <w:tcPr>
            <w:tcW w:w="3324" w:type="pct"/>
            <w:shd w:val="clear" w:color="auto" w:fill="auto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szCs w:val="20"/>
              </w:rPr>
            </w:pPr>
            <w:r w:rsidRPr="00F638B2">
              <w:rPr>
                <w:szCs w:val="20"/>
              </w:rPr>
              <w:object w:dxaOrig="16335" w:dyaOrig="1305">
                <v:shape id="_x0000_i1029" type="#_x0000_t75" style="width:252.75pt;height:21pt" o:ole="">
                  <v:imagedata r:id="rId13" o:title=""/>
                </v:shape>
                <o:OLEObject Type="Embed" ProgID="PBrush" ShapeID="_x0000_i1029" DrawAspect="Content" ObjectID="_1513768888" r:id="rId14"/>
              </w:object>
            </w:r>
          </w:p>
        </w:tc>
      </w:tr>
      <w:tr w:rsidR="001A317E" w:rsidRPr="006D6935" w:rsidTr="00647C32">
        <w:trPr>
          <w:trHeight w:hRule="exact" w:val="1134"/>
          <w:jc w:val="center"/>
        </w:trPr>
        <w:tc>
          <w:tcPr>
            <w:tcW w:w="397" w:type="pct"/>
            <w:vMerge/>
            <w:shd w:val="clear" w:color="auto" w:fill="F2F2F2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szCs w:val="20"/>
              </w:rPr>
            </w:pPr>
          </w:p>
        </w:tc>
        <w:tc>
          <w:tcPr>
            <w:tcW w:w="1279" w:type="pct"/>
            <w:shd w:val="clear" w:color="auto" w:fill="F2F2F2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rPr>
                <w:szCs w:val="20"/>
              </w:rPr>
            </w:pPr>
            <w:r w:rsidRPr="00BA3D8D">
              <w:rPr>
                <w:color w:val="000000"/>
                <w:szCs w:val="20"/>
              </w:rPr>
              <w:t>Relação de Alunos/Docente em Tempo Integral</w:t>
            </w:r>
          </w:p>
        </w:tc>
        <w:tc>
          <w:tcPr>
            <w:tcW w:w="3324" w:type="pct"/>
            <w:shd w:val="clear" w:color="auto" w:fill="auto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szCs w:val="20"/>
              </w:rPr>
            </w:pPr>
            <w:r w:rsidRPr="00F638B2">
              <w:rPr>
                <w:szCs w:val="20"/>
              </w:rPr>
              <w:object w:dxaOrig="9900" w:dyaOrig="1260">
                <v:shape id="_x0000_i1030" type="#_x0000_t75" style="width:129.75pt;height:14.25pt" o:ole="">
                  <v:imagedata r:id="rId15" o:title=""/>
                </v:shape>
                <o:OLEObject Type="Embed" ProgID="PBrush" ShapeID="_x0000_i1030" DrawAspect="Content" ObjectID="_1513768889" r:id="rId16"/>
              </w:object>
            </w:r>
          </w:p>
        </w:tc>
      </w:tr>
      <w:tr w:rsidR="001A317E" w:rsidRPr="006D6935" w:rsidTr="00647C32">
        <w:trPr>
          <w:trHeight w:val="284"/>
          <w:jc w:val="center"/>
        </w:trPr>
        <w:tc>
          <w:tcPr>
            <w:tcW w:w="397" w:type="pct"/>
            <w:vMerge w:val="restart"/>
            <w:shd w:val="clear" w:color="auto" w:fill="F2F2F2"/>
            <w:textDirection w:val="btLr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ind w:left="113" w:right="113"/>
              <w:jc w:val="center"/>
              <w:rPr>
                <w:bCs/>
                <w:szCs w:val="20"/>
              </w:rPr>
            </w:pPr>
            <w:r w:rsidRPr="00BA3D8D">
              <w:rPr>
                <w:bCs/>
                <w:szCs w:val="20"/>
              </w:rPr>
              <w:t>Administrativos</w:t>
            </w:r>
          </w:p>
        </w:tc>
        <w:tc>
          <w:tcPr>
            <w:tcW w:w="1279" w:type="pct"/>
            <w:shd w:val="clear" w:color="auto" w:fill="F2F2F2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rPr>
                <w:bCs/>
                <w:szCs w:val="20"/>
              </w:rPr>
            </w:pPr>
            <w:r w:rsidRPr="00BA3D8D">
              <w:rPr>
                <w:color w:val="000000"/>
                <w:szCs w:val="20"/>
              </w:rPr>
              <w:t>Gastos Correntes por Aluno</w:t>
            </w:r>
          </w:p>
        </w:tc>
        <w:tc>
          <w:tcPr>
            <w:tcW w:w="3324" w:type="pct"/>
            <w:shd w:val="clear" w:color="auto" w:fill="auto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bCs/>
                <w:szCs w:val="20"/>
              </w:rPr>
            </w:pPr>
            <w:r w:rsidRPr="00F638B2">
              <w:rPr>
                <w:szCs w:val="20"/>
              </w:rPr>
              <w:object w:dxaOrig="11685" w:dyaOrig="1350">
                <v:shape id="_x0000_i1031" type="#_x0000_t75" style="width:165pt;height:21.75pt" o:ole="">
                  <v:imagedata r:id="rId17" o:title=""/>
                </v:shape>
                <o:OLEObject Type="Embed" ProgID="PBrush" ShapeID="_x0000_i1031" DrawAspect="Content" ObjectID="_1513768890" r:id="rId18"/>
              </w:object>
            </w:r>
          </w:p>
        </w:tc>
      </w:tr>
      <w:tr w:rsidR="001A317E" w:rsidRPr="006D6935" w:rsidTr="00647C32">
        <w:trPr>
          <w:trHeight w:hRule="exact" w:val="650"/>
          <w:jc w:val="center"/>
        </w:trPr>
        <w:tc>
          <w:tcPr>
            <w:tcW w:w="397" w:type="pct"/>
            <w:vMerge/>
            <w:shd w:val="clear" w:color="auto" w:fill="F2F2F2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bCs/>
                <w:szCs w:val="20"/>
              </w:rPr>
            </w:pPr>
          </w:p>
        </w:tc>
        <w:tc>
          <w:tcPr>
            <w:tcW w:w="1279" w:type="pct"/>
            <w:shd w:val="clear" w:color="auto" w:fill="F2F2F2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rPr>
                <w:bCs/>
                <w:szCs w:val="20"/>
              </w:rPr>
            </w:pPr>
            <w:r w:rsidRPr="00BA3D8D">
              <w:rPr>
                <w:color w:val="000000"/>
                <w:szCs w:val="20"/>
              </w:rPr>
              <w:t>Percentual de Gastos com Pessoal</w:t>
            </w:r>
          </w:p>
        </w:tc>
        <w:tc>
          <w:tcPr>
            <w:tcW w:w="3324" w:type="pct"/>
            <w:shd w:val="clear" w:color="auto" w:fill="auto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bCs/>
                <w:szCs w:val="20"/>
              </w:rPr>
            </w:pPr>
            <w:r w:rsidRPr="00F638B2">
              <w:rPr>
                <w:szCs w:val="20"/>
              </w:rPr>
              <w:object w:dxaOrig="16350" w:dyaOrig="1215">
                <v:shape id="_x0000_i1032" type="#_x0000_t75" style="width:230.25pt;height:14.25pt" o:ole="">
                  <v:imagedata r:id="rId19" o:title=""/>
                </v:shape>
                <o:OLEObject Type="Embed" ProgID="PBrush" ShapeID="_x0000_i1032" DrawAspect="Content" ObjectID="_1513768891" r:id="rId20"/>
              </w:object>
            </w:r>
          </w:p>
        </w:tc>
      </w:tr>
      <w:tr w:rsidR="001A317E" w:rsidRPr="006D6935" w:rsidTr="00647C32">
        <w:trPr>
          <w:trHeight w:hRule="exact" w:val="592"/>
          <w:jc w:val="center"/>
        </w:trPr>
        <w:tc>
          <w:tcPr>
            <w:tcW w:w="397" w:type="pct"/>
            <w:vMerge/>
            <w:shd w:val="clear" w:color="auto" w:fill="F2F2F2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bCs/>
                <w:szCs w:val="20"/>
              </w:rPr>
            </w:pPr>
          </w:p>
        </w:tc>
        <w:tc>
          <w:tcPr>
            <w:tcW w:w="1279" w:type="pct"/>
            <w:shd w:val="clear" w:color="auto" w:fill="F2F2F2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rPr>
                <w:bCs/>
                <w:szCs w:val="20"/>
              </w:rPr>
            </w:pPr>
            <w:r w:rsidRPr="00BA3D8D">
              <w:rPr>
                <w:color w:val="000000"/>
                <w:szCs w:val="20"/>
              </w:rPr>
              <w:t>Percentual de Gastos com outros Custeios</w:t>
            </w:r>
          </w:p>
        </w:tc>
        <w:tc>
          <w:tcPr>
            <w:tcW w:w="3324" w:type="pct"/>
            <w:shd w:val="clear" w:color="auto" w:fill="auto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bCs/>
                <w:szCs w:val="20"/>
              </w:rPr>
            </w:pPr>
            <w:r w:rsidRPr="00F638B2">
              <w:rPr>
                <w:szCs w:val="20"/>
              </w:rPr>
              <w:object w:dxaOrig="4320" w:dyaOrig="478">
                <v:shape id="_x0000_i1033" type="#_x0000_t75" style="width:3in;height:21.75pt" o:ole="">
                  <v:imagedata r:id="rId21" o:title=""/>
                </v:shape>
                <o:OLEObject Type="Embed" ProgID="PBrush" ShapeID="_x0000_i1033" DrawAspect="Content" ObjectID="_1513768892" r:id="rId22"/>
              </w:object>
            </w:r>
          </w:p>
        </w:tc>
      </w:tr>
      <w:tr w:rsidR="001A317E" w:rsidRPr="006D6935" w:rsidTr="00647C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0"/>
          <w:jc w:val="center"/>
        </w:trPr>
        <w:tc>
          <w:tcPr>
            <w:tcW w:w="397" w:type="pct"/>
            <w:vMerge/>
            <w:shd w:val="clear" w:color="auto" w:fill="F2F2F2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bCs/>
                <w:szCs w:val="20"/>
              </w:rPr>
            </w:pPr>
          </w:p>
        </w:tc>
        <w:tc>
          <w:tcPr>
            <w:tcW w:w="1279" w:type="pct"/>
            <w:shd w:val="clear" w:color="auto" w:fill="F2F2F2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rPr>
                <w:bCs/>
                <w:szCs w:val="20"/>
              </w:rPr>
            </w:pPr>
            <w:r w:rsidRPr="00BA3D8D">
              <w:rPr>
                <w:color w:val="000000"/>
                <w:szCs w:val="20"/>
              </w:rPr>
              <w:t>Percentual de Gastos com Investimentos</w:t>
            </w:r>
          </w:p>
        </w:tc>
        <w:tc>
          <w:tcPr>
            <w:tcW w:w="3324" w:type="pct"/>
            <w:shd w:val="clear" w:color="auto" w:fill="auto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bCs/>
                <w:szCs w:val="20"/>
              </w:rPr>
            </w:pPr>
            <w:r w:rsidRPr="00F638B2">
              <w:rPr>
                <w:szCs w:val="20"/>
              </w:rPr>
              <w:object w:dxaOrig="4320" w:dyaOrig="508">
                <v:shape id="_x0000_i1034" type="#_x0000_t75" style="width:3in;height:28.5pt" o:ole="">
                  <v:imagedata r:id="rId23" o:title=""/>
                </v:shape>
                <o:OLEObject Type="Embed" ProgID="PBrush" ShapeID="_x0000_i1034" DrawAspect="Content" ObjectID="_1513768893" r:id="rId24"/>
              </w:object>
            </w:r>
          </w:p>
        </w:tc>
      </w:tr>
      <w:tr w:rsidR="001A317E" w:rsidRPr="006D6935" w:rsidTr="00647C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1657"/>
          <w:jc w:val="center"/>
        </w:trPr>
        <w:tc>
          <w:tcPr>
            <w:tcW w:w="397" w:type="pct"/>
            <w:shd w:val="clear" w:color="auto" w:fill="F2F2F2"/>
            <w:textDirection w:val="btLr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ind w:left="113" w:right="113"/>
              <w:jc w:val="center"/>
              <w:rPr>
                <w:bCs/>
                <w:szCs w:val="20"/>
              </w:rPr>
            </w:pPr>
            <w:r w:rsidRPr="00BA3D8D">
              <w:rPr>
                <w:bCs/>
                <w:szCs w:val="20"/>
              </w:rPr>
              <w:t>Socioeconômico</w:t>
            </w:r>
          </w:p>
        </w:tc>
        <w:tc>
          <w:tcPr>
            <w:tcW w:w="1279" w:type="pct"/>
            <w:shd w:val="clear" w:color="auto" w:fill="F2F2F2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rPr>
                <w:bCs/>
                <w:szCs w:val="20"/>
              </w:rPr>
            </w:pPr>
            <w:r w:rsidRPr="00BA3D8D">
              <w:rPr>
                <w:color w:val="000000"/>
                <w:szCs w:val="20"/>
              </w:rPr>
              <w:t>Número de Alunos Matriculados por Renda per Capita Familiar</w:t>
            </w:r>
          </w:p>
        </w:tc>
        <w:tc>
          <w:tcPr>
            <w:tcW w:w="3324" w:type="pct"/>
            <w:shd w:val="clear" w:color="auto" w:fill="auto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bCs/>
                <w:szCs w:val="20"/>
              </w:rPr>
            </w:pPr>
            <w:r w:rsidRPr="00BA3D8D">
              <w:rPr>
                <w:bCs/>
                <w:szCs w:val="20"/>
                <w:u w:val="single"/>
              </w:rPr>
              <w:t>Número de Alunos na Faixa</w:t>
            </w:r>
            <w:r w:rsidRPr="00BA3D8D">
              <w:rPr>
                <w:bCs/>
                <w:szCs w:val="20"/>
              </w:rPr>
              <w:t xml:space="preserve"> x100</w:t>
            </w:r>
          </w:p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bCs/>
                <w:szCs w:val="20"/>
              </w:rPr>
            </w:pPr>
            <w:r w:rsidRPr="00BA3D8D">
              <w:rPr>
                <w:bCs/>
                <w:szCs w:val="20"/>
              </w:rPr>
              <w:t xml:space="preserve">Total de Alunos                                                       </w:t>
            </w:r>
          </w:p>
        </w:tc>
      </w:tr>
      <w:tr w:rsidR="001A317E" w:rsidRPr="006D6935" w:rsidTr="00647C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1134"/>
          <w:jc w:val="center"/>
        </w:trPr>
        <w:tc>
          <w:tcPr>
            <w:tcW w:w="397" w:type="pct"/>
            <w:shd w:val="clear" w:color="auto" w:fill="F2F2F2"/>
            <w:textDirection w:val="btLr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ind w:left="113" w:right="113"/>
              <w:jc w:val="center"/>
              <w:rPr>
                <w:bCs/>
                <w:szCs w:val="20"/>
              </w:rPr>
            </w:pPr>
            <w:r w:rsidRPr="00BA3D8D">
              <w:rPr>
                <w:bCs/>
                <w:szCs w:val="20"/>
              </w:rPr>
              <w:t>Gestão de Pessoas</w:t>
            </w:r>
          </w:p>
        </w:tc>
        <w:tc>
          <w:tcPr>
            <w:tcW w:w="1279" w:type="pct"/>
            <w:shd w:val="clear" w:color="auto" w:fill="F2F2F2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rPr>
                <w:bCs/>
                <w:szCs w:val="20"/>
              </w:rPr>
            </w:pPr>
            <w:r w:rsidRPr="00BA3D8D">
              <w:rPr>
                <w:color w:val="000000"/>
                <w:szCs w:val="20"/>
              </w:rPr>
              <w:t>Índice de Titulação do Corpo Docente</w:t>
            </w:r>
          </w:p>
        </w:tc>
        <w:tc>
          <w:tcPr>
            <w:tcW w:w="3324" w:type="pct"/>
            <w:shd w:val="clear" w:color="auto" w:fill="auto"/>
            <w:vAlign w:val="center"/>
          </w:tcPr>
          <w:p w:rsidR="001A317E" w:rsidRPr="00BA3D8D" w:rsidRDefault="001A317E" w:rsidP="00647C32">
            <w:pPr>
              <w:tabs>
                <w:tab w:val="left" w:pos="3119"/>
              </w:tabs>
              <w:jc w:val="center"/>
              <w:rPr>
                <w:bCs/>
                <w:szCs w:val="20"/>
              </w:rPr>
            </w:pPr>
            <w:r w:rsidRPr="00F638B2">
              <w:rPr>
                <w:szCs w:val="20"/>
              </w:rPr>
              <w:object w:dxaOrig="8295" w:dyaOrig="1245">
                <v:shape id="_x0000_i1035" type="#_x0000_t75" style="width:136.5pt;height:21.75pt" o:ole="">
                  <v:imagedata r:id="rId25" o:title=""/>
                </v:shape>
                <o:OLEObject Type="Embed" ProgID="PBrush" ShapeID="_x0000_i1035" DrawAspect="Content" ObjectID="_1513768894" r:id="rId26"/>
              </w:object>
            </w:r>
          </w:p>
        </w:tc>
      </w:tr>
    </w:tbl>
    <w:p w:rsidR="001A317E" w:rsidRDefault="001A317E" w:rsidP="001A317E">
      <w:pPr>
        <w:spacing w:after="0"/>
        <w:rPr>
          <w:szCs w:val="20"/>
        </w:rPr>
      </w:pPr>
    </w:p>
    <w:p w:rsidR="001A317E" w:rsidRDefault="001A317E" w:rsidP="001A317E">
      <w:pPr>
        <w:pStyle w:val="PargrafodaLista"/>
        <w:spacing w:after="0" w:line="360" w:lineRule="auto"/>
        <w:ind w:left="1224"/>
        <w:rPr>
          <w:bCs/>
          <w:sz w:val="24"/>
          <w:szCs w:val="24"/>
        </w:rPr>
      </w:pPr>
    </w:p>
    <w:p w:rsidR="001A317E" w:rsidRDefault="001A317E" w:rsidP="001A317E">
      <w:pPr>
        <w:pStyle w:val="PargrafodaLista"/>
        <w:numPr>
          <w:ilvl w:val="2"/>
          <w:numId w:val="1"/>
        </w:numPr>
        <w:spacing w:after="0" w:line="360" w:lineRule="auto"/>
        <w:ind w:left="1224"/>
        <w:rPr>
          <w:bCs/>
          <w:sz w:val="24"/>
          <w:szCs w:val="24"/>
        </w:rPr>
      </w:pPr>
      <w:r w:rsidRPr="00545735">
        <w:rPr>
          <w:bCs/>
          <w:sz w:val="24"/>
          <w:szCs w:val="24"/>
        </w:rPr>
        <w:t>Análises dos Resultados dos indicadores de Gestão</w:t>
      </w:r>
    </w:p>
    <w:p w:rsidR="001A317E" w:rsidRDefault="001A317E" w:rsidP="001A317E">
      <w:pPr>
        <w:pStyle w:val="PargrafodaLista"/>
        <w:spacing w:after="0" w:line="360" w:lineRule="auto"/>
        <w:ind w:left="1224"/>
        <w:rPr>
          <w:bCs/>
          <w:sz w:val="24"/>
          <w:szCs w:val="24"/>
        </w:rPr>
      </w:pPr>
      <w:r>
        <w:rPr>
          <w:bCs/>
          <w:sz w:val="24"/>
          <w:szCs w:val="24"/>
        </w:rPr>
        <w:t>Análise do ano anterior</w:t>
      </w:r>
    </w:p>
    <w:p w:rsidR="001A317E" w:rsidRPr="001D38AE" w:rsidRDefault="001A317E" w:rsidP="001A317E">
      <w:pPr>
        <w:pStyle w:val="PargrafodaLista"/>
        <w:ind w:left="0" w:firstLine="567"/>
        <w:jc w:val="both"/>
        <w:rPr>
          <w:rFonts w:eastAsia="Times New Roman"/>
          <w:bCs/>
          <w:iCs/>
          <w:noProof/>
          <w:color w:val="FF0000"/>
          <w:sz w:val="24"/>
          <w:szCs w:val="24"/>
        </w:rPr>
      </w:pPr>
      <w:r w:rsidRPr="001D38AE">
        <w:rPr>
          <w:rFonts w:eastAsia="Times New Roman"/>
          <w:bCs/>
          <w:iCs/>
          <w:noProof/>
          <w:color w:val="FF0000"/>
          <w:sz w:val="24"/>
          <w:szCs w:val="24"/>
        </w:rPr>
        <w:t xml:space="preserve">No tocante aos índices da relação número de candidatos inscritos por vagas ofertadas para o ano letivo de 2014, observa-se que a demanda por escolarização nos Cursos apresentou leve queda em referência ao ano letivo de 2013 e, propriamente, à série </w:t>
      </w:r>
      <w:r w:rsidRPr="001D38AE">
        <w:rPr>
          <w:rFonts w:eastAsia="Times New Roman"/>
          <w:bCs/>
          <w:iCs/>
          <w:noProof/>
          <w:color w:val="FF0000"/>
          <w:sz w:val="24"/>
          <w:szCs w:val="24"/>
        </w:rPr>
        <w:lastRenderedPageBreak/>
        <w:t>dos últimos Exercícios. Desta feita, o percentual de ingressos resultou delineado tanto em relação ao primeiro indicador quanto à série trabalhada.</w:t>
      </w:r>
    </w:p>
    <w:p w:rsidR="001A317E" w:rsidRPr="001D38AE" w:rsidRDefault="001A317E" w:rsidP="001A317E">
      <w:pPr>
        <w:pStyle w:val="PargrafodaLista"/>
        <w:ind w:left="0" w:firstLine="567"/>
        <w:jc w:val="both"/>
        <w:rPr>
          <w:rFonts w:eastAsia="Times New Roman"/>
          <w:bCs/>
          <w:iCs/>
          <w:noProof/>
          <w:color w:val="FF0000"/>
          <w:sz w:val="24"/>
          <w:szCs w:val="24"/>
        </w:rPr>
      </w:pPr>
      <w:r w:rsidRPr="001D38AE">
        <w:rPr>
          <w:rFonts w:eastAsia="Times New Roman"/>
          <w:bCs/>
          <w:iCs/>
          <w:noProof/>
          <w:color w:val="FF0000"/>
          <w:sz w:val="24"/>
          <w:szCs w:val="24"/>
        </w:rPr>
        <w:t xml:space="preserve">Contudo, os dados revelam uma discrepância considerável em termos de relação concluintes/alunos; uma vez que os percentuais da série histórica não apresentam nem de longe variações de tal magnitude. É correto apontar caminhos explicativos para o percentual dissonante. Compreende-se que a prática de não “fechamento” do Sistema Q-Acadêmico em determinados semestres letivos por parte das autoridades acadêmicas imbuídas para esta tarefa pode ser uma das explicações fundantes do número ora apresentado. </w:t>
      </w:r>
    </w:p>
    <w:p w:rsidR="001A317E" w:rsidRPr="001D38AE" w:rsidRDefault="001A317E" w:rsidP="001A317E">
      <w:pPr>
        <w:pStyle w:val="PargrafodaLista"/>
        <w:ind w:left="0" w:firstLine="567"/>
        <w:jc w:val="both"/>
        <w:rPr>
          <w:rFonts w:eastAsia="Times New Roman"/>
          <w:bCs/>
          <w:iCs/>
          <w:noProof/>
          <w:color w:val="FF0000"/>
          <w:sz w:val="24"/>
          <w:szCs w:val="24"/>
        </w:rPr>
      </w:pPr>
      <w:r w:rsidRPr="001D38AE">
        <w:rPr>
          <w:rFonts w:eastAsia="Times New Roman"/>
          <w:bCs/>
          <w:iCs/>
          <w:noProof/>
          <w:color w:val="FF0000"/>
          <w:sz w:val="24"/>
          <w:szCs w:val="24"/>
        </w:rPr>
        <w:t>De acordo com o indicador eficiência acadêmica-concluintes, o dado mostra alta crescente frente ao número do ano de 2013 e, principalmente, no tocante à série histórica; revelando maior número de ingresso em detrimento ao número de finalização dos cursos; o que aponta para um fluxo irregular entre “entrada” e “saída” dos alunos.</w:t>
      </w:r>
    </w:p>
    <w:p w:rsidR="001A317E" w:rsidRPr="001D38AE" w:rsidRDefault="001A317E" w:rsidP="001A317E">
      <w:pPr>
        <w:pStyle w:val="PargrafodaLista"/>
        <w:ind w:left="0" w:firstLine="567"/>
        <w:jc w:val="both"/>
        <w:rPr>
          <w:rFonts w:eastAsia="Times New Roman"/>
          <w:bCs/>
          <w:iCs/>
          <w:noProof/>
          <w:color w:val="FF0000"/>
          <w:sz w:val="24"/>
          <w:szCs w:val="24"/>
        </w:rPr>
      </w:pPr>
      <w:r w:rsidRPr="001D38AE">
        <w:rPr>
          <w:rFonts w:eastAsia="Times New Roman"/>
          <w:bCs/>
          <w:iCs/>
          <w:noProof/>
          <w:color w:val="FF0000"/>
          <w:sz w:val="24"/>
          <w:szCs w:val="24"/>
        </w:rPr>
        <w:t>Quanto aos dados do indicador retenção do fluxo escolar, o índice de 2014 apresenta significativa baixa frente à série histórica, chamando atenção para sua contraposição no que diz respeito aos Exercícios de 2012 e 2013.</w:t>
      </w:r>
    </w:p>
    <w:p w:rsidR="001A317E" w:rsidRPr="001D38AE" w:rsidRDefault="001A317E" w:rsidP="001A317E">
      <w:pPr>
        <w:pStyle w:val="PargrafodaLista"/>
        <w:ind w:left="0" w:firstLine="567"/>
        <w:jc w:val="both"/>
        <w:rPr>
          <w:rFonts w:eastAsia="Times New Roman"/>
          <w:bCs/>
          <w:iCs/>
          <w:noProof/>
          <w:color w:val="FF0000"/>
          <w:sz w:val="24"/>
          <w:szCs w:val="24"/>
        </w:rPr>
      </w:pPr>
      <w:r w:rsidRPr="001D38AE">
        <w:rPr>
          <w:rFonts w:eastAsia="Times New Roman"/>
          <w:bCs/>
          <w:iCs/>
          <w:noProof/>
          <w:color w:val="FF0000"/>
          <w:sz w:val="24"/>
          <w:szCs w:val="24"/>
        </w:rPr>
        <w:t>Por último, o percentual advindo do indicador relação de alunos/docente em tempo integral continua estável no tocante à série histórica e, pontualmente, em comparação aos Exercícios de 2012 e 2013, demonstrando equilíbrio deste indicador ano a ano.</w:t>
      </w:r>
    </w:p>
    <w:p w:rsidR="008F2B62" w:rsidRDefault="008F2B62" w:rsidP="008F2B62">
      <w:pPr>
        <w:keepNext/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66557647" wp14:editId="77A76119">
            <wp:extent cx="4381169" cy="2748853"/>
            <wp:effectExtent l="0" t="0" r="635" b="0"/>
            <wp:docPr id="1254" name="Imagem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02360" cy="276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62" w:rsidRDefault="008F2B62" w:rsidP="008F2B62">
      <w:pPr>
        <w:pStyle w:val="Legenda"/>
        <w:spacing w:after="0"/>
        <w:jc w:val="center"/>
        <w:rPr>
          <w:noProof/>
        </w:rPr>
      </w:pPr>
      <w:bookmarkStart w:id="1" w:name="_Toc415643606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proofErr w:type="gramStart"/>
      <w:r>
        <w:rPr>
          <w:noProof/>
        </w:rPr>
        <w:t>28</w:t>
      </w:r>
      <w:r>
        <w:rPr>
          <w:noProof/>
        </w:rPr>
        <w:fldChar w:fldCharType="end"/>
      </w:r>
      <w:r>
        <w:t xml:space="preserve"> </w:t>
      </w:r>
      <w:r w:rsidRPr="00D25C29">
        <w:t xml:space="preserve"> Relação</w:t>
      </w:r>
      <w:proofErr w:type="gramEnd"/>
      <w:r w:rsidRPr="00D25C29">
        <w:t xml:space="preserve"> Candidato x Vaga</w:t>
      </w:r>
      <w:bookmarkEnd w:id="1"/>
    </w:p>
    <w:p w:rsidR="008F2B62" w:rsidRDefault="008F2B62" w:rsidP="008F2B62">
      <w:pPr>
        <w:pStyle w:val="Legenda"/>
        <w:spacing w:after="0"/>
        <w:jc w:val="center"/>
      </w:pPr>
      <w:r>
        <w:rPr>
          <w:noProof/>
        </w:rPr>
        <w:t>Fonte: CEPI</w:t>
      </w:r>
    </w:p>
    <w:p w:rsidR="008F2B62" w:rsidRDefault="008F2B62" w:rsidP="008F2B62">
      <w:pPr>
        <w:keepNext/>
        <w:spacing w:after="0"/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6B44FE15" wp14:editId="50D44B29">
            <wp:extent cx="4126727" cy="2610183"/>
            <wp:effectExtent l="0" t="0" r="7620" b="0"/>
            <wp:docPr id="1257" name="Imagem 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51038" cy="262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62" w:rsidRDefault="008F2B62" w:rsidP="008F2B62">
      <w:pPr>
        <w:pStyle w:val="Legenda"/>
        <w:spacing w:after="0"/>
        <w:jc w:val="center"/>
      </w:pPr>
      <w:bookmarkStart w:id="2" w:name="_Toc415643607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  <w:r>
        <w:t xml:space="preserve"> </w:t>
      </w:r>
      <w:r w:rsidRPr="00D74467">
        <w:t>Relação Concluinte Aluno</w:t>
      </w:r>
      <w:bookmarkEnd w:id="2"/>
    </w:p>
    <w:p w:rsidR="008F2B62" w:rsidRDefault="008F2B62" w:rsidP="008F2B62">
      <w:pPr>
        <w:pStyle w:val="Legenda"/>
        <w:spacing w:after="0"/>
        <w:jc w:val="center"/>
      </w:pPr>
      <w:r>
        <w:t>Fonte: CEPI</w:t>
      </w:r>
    </w:p>
    <w:p w:rsidR="008F2B62" w:rsidRDefault="008F2B62" w:rsidP="008F2B62">
      <w:pPr>
        <w:spacing w:after="0"/>
      </w:pPr>
    </w:p>
    <w:p w:rsidR="008F2B62" w:rsidRDefault="008F2B62" w:rsidP="008F2B62">
      <w:pPr>
        <w:keepNext/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7B545482" wp14:editId="6D3AFFA7">
            <wp:extent cx="4122108" cy="2584174"/>
            <wp:effectExtent l="0" t="0" r="0" b="6985"/>
            <wp:docPr id="1258" name="Imagem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42364" cy="259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62" w:rsidRDefault="008F2B62" w:rsidP="008F2B62">
      <w:pPr>
        <w:pStyle w:val="Legenda"/>
        <w:spacing w:after="0"/>
        <w:jc w:val="center"/>
        <w:rPr>
          <w:noProof/>
        </w:rPr>
      </w:pPr>
      <w:bookmarkStart w:id="3" w:name="_Toc415643608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  <w:r w:rsidRPr="00BC3C6C">
        <w:t xml:space="preserve"> Índice de Eficiência Acadêmica - Concluintes</w:t>
      </w:r>
      <w:bookmarkEnd w:id="3"/>
      <w:r>
        <w:rPr>
          <w:noProof/>
        </w:rPr>
        <w:t xml:space="preserve"> </w:t>
      </w:r>
    </w:p>
    <w:p w:rsidR="008F2B62" w:rsidRDefault="008F2B62" w:rsidP="008F2B62">
      <w:pPr>
        <w:pStyle w:val="Legenda"/>
        <w:spacing w:after="0"/>
        <w:jc w:val="center"/>
      </w:pPr>
      <w:r>
        <w:rPr>
          <w:noProof/>
        </w:rPr>
        <w:t>Fonte:CEPI</w:t>
      </w:r>
    </w:p>
    <w:p w:rsidR="008F2B62" w:rsidRDefault="008F2B62" w:rsidP="008F2B62">
      <w:pPr>
        <w:spacing w:after="0"/>
      </w:pPr>
    </w:p>
    <w:p w:rsidR="008F2B62" w:rsidRDefault="008F2B62" w:rsidP="008F2B62">
      <w:pPr>
        <w:spacing w:after="0"/>
      </w:pPr>
    </w:p>
    <w:p w:rsidR="008F2B62" w:rsidRDefault="008F2B62" w:rsidP="008F2B62">
      <w:pPr>
        <w:keepNext/>
        <w:spacing w:after="0"/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0B6E9066" wp14:editId="2BA64DBB">
            <wp:extent cx="4032150" cy="2546599"/>
            <wp:effectExtent l="0" t="0" r="6985" b="6350"/>
            <wp:docPr id="1264" name="Imagem 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73342" cy="25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62" w:rsidRDefault="008F2B62" w:rsidP="008F2B62">
      <w:pPr>
        <w:pStyle w:val="Legenda"/>
        <w:spacing w:after="0"/>
        <w:jc w:val="center"/>
        <w:rPr>
          <w:noProof/>
        </w:rPr>
      </w:pPr>
      <w:bookmarkStart w:id="4" w:name="_Toc415643609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proofErr w:type="gramStart"/>
      <w:r>
        <w:rPr>
          <w:noProof/>
        </w:rPr>
        <w:t>31</w:t>
      </w:r>
      <w:r>
        <w:rPr>
          <w:noProof/>
        </w:rPr>
        <w:fldChar w:fldCharType="end"/>
      </w:r>
      <w:r>
        <w:t xml:space="preserve"> </w:t>
      </w:r>
      <w:r w:rsidRPr="00F16D38">
        <w:t xml:space="preserve"> Índice</w:t>
      </w:r>
      <w:proofErr w:type="gramEnd"/>
      <w:r w:rsidRPr="00F16D38">
        <w:t xml:space="preserve"> de Retenção de Fluxo Escolar</w:t>
      </w:r>
      <w:bookmarkEnd w:id="4"/>
      <w:r>
        <w:rPr>
          <w:noProof/>
        </w:rPr>
        <w:t xml:space="preserve"> </w:t>
      </w:r>
    </w:p>
    <w:p w:rsidR="008F2B62" w:rsidRDefault="008F2B62" w:rsidP="008F2B62">
      <w:pPr>
        <w:pStyle w:val="Legenda"/>
        <w:spacing w:after="0"/>
        <w:jc w:val="center"/>
      </w:pPr>
      <w:r>
        <w:rPr>
          <w:noProof/>
        </w:rPr>
        <w:t>Fonte:CEPI</w:t>
      </w:r>
    </w:p>
    <w:p w:rsidR="008F2B62" w:rsidRDefault="008F2B62" w:rsidP="008F2B62">
      <w:pPr>
        <w:spacing w:after="0"/>
      </w:pPr>
    </w:p>
    <w:p w:rsidR="008F2B62" w:rsidRDefault="008F2B62" w:rsidP="008F2B62">
      <w:pPr>
        <w:keepNext/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2600CD03" wp14:editId="07C5A9E9">
            <wp:extent cx="4099685" cy="2562888"/>
            <wp:effectExtent l="0" t="0" r="0" b="8890"/>
            <wp:docPr id="1265" name="Imagem 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20770" cy="257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62" w:rsidRDefault="008F2B62" w:rsidP="008F2B62">
      <w:pPr>
        <w:pStyle w:val="Legenda"/>
        <w:spacing w:after="0"/>
        <w:jc w:val="center"/>
        <w:rPr>
          <w:noProof/>
        </w:rPr>
      </w:pPr>
      <w:bookmarkStart w:id="5" w:name="_Toc415643610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  <w:r>
        <w:t xml:space="preserve"> </w:t>
      </w:r>
      <w:r w:rsidRPr="00712DDE">
        <w:t xml:space="preserve">Relação de Alunos </w:t>
      </w:r>
      <w:proofErr w:type="gramStart"/>
      <w:r w:rsidRPr="00712DDE">
        <w:t>x</w:t>
      </w:r>
      <w:proofErr w:type="gramEnd"/>
      <w:r w:rsidRPr="00712DDE">
        <w:t xml:space="preserve"> Docentes em Tempo Integral</w:t>
      </w:r>
      <w:bookmarkEnd w:id="5"/>
    </w:p>
    <w:p w:rsidR="008F2B62" w:rsidRDefault="008F2B62" w:rsidP="008F2B62">
      <w:pPr>
        <w:pStyle w:val="Legenda"/>
        <w:spacing w:after="0"/>
        <w:jc w:val="center"/>
      </w:pPr>
      <w:r>
        <w:rPr>
          <w:noProof/>
        </w:rPr>
        <w:t>Fonte:CEPI</w:t>
      </w:r>
    </w:p>
    <w:p w:rsidR="008F2B62" w:rsidRDefault="008F2B62" w:rsidP="008F2B62">
      <w:pPr>
        <w:spacing w:after="0"/>
      </w:pPr>
    </w:p>
    <w:p w:rsidR="008F2B62" w:rsidRDefault="008F2B62" w:rsidP="008F2B62">
      <w:pPr>
        <w:spacing w:after="0"/>
      </w:pPr>
    </w:p>
    <w:p w:rsidR="008F2B62" w:rsidRDefault="008F2B62" w:rsidP="008F2B62">
      <w:pPr>
        <w:spacing w:after="0"/>
      </w:pPr>
    </w:p>
    <w:p w:rsidR="008F2B62" w:rsidRDefault="008F2B62" w:rsidP="008F2B62">
      <w:pPr>
        <w:pStyle w:val="Legenda"/>
        <w:keepNext/>
        <w:jc w:val="center"/>
      </w:pPr>
      <w:bookmarkStart w:id="6" w:name="_Toc422408371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  <w:r>
        <w:t xml:space="preserve"> Relação Candidato Vaga</w:t>
      </w:r>
      <w:bookmarkEnd w:id="6"/>
    </w:p>
    <w:tbl>
      <w:tblPr>
        <w:tblW w:w="9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8"/>
        <w:gridCol w:w="1175"/>
        <w:gridCol w:w="1739"/>
        <w:gridCol w:w="1228"/>
      </w:tblGrid>
      <w:tr w:rsidR="008F2B62" w:rsidRPr="007B1B6F" w:rsidTr="00F913F3">
        <w:trPr>
          <w:trHeight w:hRule="exact" w:val="28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RELAÇÃO CANDIDATO POR VAGA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Campus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Vagas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Inscritos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Índice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Coari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240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1876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7,82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Eirunepé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160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0,99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Humaitá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280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742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2,65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Itacoatiara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240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361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1,50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Lábrea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265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1647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6,22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Manaus Centro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2141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9525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4,45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Manaus Distrito Industrial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504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2026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4,02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Manaus Zona Leste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863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1491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1,73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Manacapuru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80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1,00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Maués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1140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10,86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lastRenderedPageBreak/>
              <w:t>Parintins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430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1394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3,24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Presidente Figueiredo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320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1357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4,24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São Gabriel da Cachoeira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360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1275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3,54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Tabatinga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320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1028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3,21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Tefé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350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347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0,99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IFAM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6.658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24.447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3,67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Fonte: Relatório extraído do sistema Q-Seleção, em 23/02/2015</w:t>
            </w:r>
          </w:p>
        </w:tc>
      </w:tr>
    </w:tbl>
    <w:p w:rsidR="008F2B62" w:rsidRDefault="008F2B62" w:rsidP="008F2B62">
      <w:pPr>
        <w:spacing w:after="0"/>
      </w:pPr>
    </w:p>
    <w:p w:rsidR="008F2B62" w:rsidRDefault="008F2B62" w:rsidP="008F2B62">
      <w:pPr>
        <w:spacing w:after="0"/>
      </w:pPr>
    </w:p>
    <w:p w:rsidR="008F2B62" w:rsidRDefault="008F2B62" w:rsidP="008F2B62">
      <w:pPr>
        <w:pStyle w:val="Legenda"/>
        <w:keepNext/>
        <w:jc w:val="center"/>
      </w:pPr>
      <w:bookmarkStart w:id="7" w:name="_Toc422408372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  <w:r>
        <w:t xml:space="preserve"> Relação Concluintes </w:t>
      </w:r>
      <w:proofErr w:type="gramStart"/>
      <w:r>
        <w:t>x</w:t>
      </w:r>
      <w:proofErr w:type="gramEnd"/>
      <w:r>
        <w:t xml:space="preserve"> Alunos 2014</w:t>
      </w:r>
      <w:bookmarkEnd w:id="7"/>
    </w:p>
    <w:tbl>
      <w:tblPr>
        <w:tblW w:w="93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1418"/>
        <w:gridCol w:w="1700"/>
      </w:tblGrid>
      <w:tr w:rsidR="008F2B62" w:rsidRPr="007B1B6F" w:rsidTr="00F913F3">
        <w:trPr>
          <w:trHeight w:hRule="exact" w:val="284"/>
        </w:trPr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RELAÇÃO CONCLUINTES X ALUNOS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</w:p>
        </w:tc>
      </w:tr>
      <w:tr w:rsidR="008F2B62" w:rsidRPr="007B1B6F" w:rsidTr="00F913F3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Campus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Concluintes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Integralizados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Matriculados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Índice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Coari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1442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9124B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124BA">
              <w:rPr>
                <w:rFonts w:eastAsia="Times New Roman"/>
                <w:color w:val="000000"/>
                <w:szCs w:val="20"/>
                <w:lang w:eastAsia="pt-BR"/>
              </w:rPr>
              <w:t>0,069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Eirunepé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158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9124B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124BA">
              <w:rPr>
                <w:rFonts w:eastAsia="Times New Roman"/>
                <w:color w:val="000000"/>
                <w:szCs w:val="20"/>
                <w:lang w:eastAsia="pt-BR"/>
              </w:rPr>
              <w:t>0,000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Humaitá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742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9124B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124BA">
              <w:rPr>
                <w:rFonts w:eastAsia="Times New Roman"/>
                <w:color w:val="000000"/>
                <w:szCs w:val="20"/>
                <w:lang w:eastAsia="pt-BR"/>
              </w:rPr>
              <w:t>0,000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Itacoatiara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361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9124B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124BA">
              <w:rPr>
                <w:rFonts w:eastAsia="Times New Roman"/>
                <w:color w:val="000000"/>
                <w:szCs w:val="20"/>
                <w:lang w:eastAsia="pt-BR"/>
              </w:rPr>
              <w:t>0,000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Lábrea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1129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9124B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124BA">
              <w:rPr>
                <w:rFonts w:eastAsia="Times New Roman"/>
                <w:color w:val="000000"/>
                <w:szCs w:val="20"/>
                <w:lang w:eastAsia="pt-BR"/>
              </w:rPr>
              <w:t>12,932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Manaus Centro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3057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8887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9124B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124BA">
              <w:rPr>
                <w:rFonts w:eastAsia="Times New Roman"/>
                <w:color w:val="000000"/>
                <w:szCs w:val="20"/>
                <w:lang w:eastAsia="pt-BR"/>
              </w:rPr>
              <w:t>1,519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Manaus Distrito Industrial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1743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9124B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124BA">
              <w:rPr>
                <w:rFonts w:eastAsia="Times New Roman"/>
                <w:color w:val="000000"/>
                <w:szCs w:val="20"/>
                <w:lang w:eastAsia="pt-BR"/>
              </w:rPr>
              <w:t>4,418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Manaus Zona Leste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1324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9124B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124BA">
              <w:rPr>
                <w:rFonts w:eastAsia="Times New Roman"/>
                <w:color w:val="000000"/>
                <w:szCs w:val="20"/>
                <w:lang w:eastAsia="pt-BR"/>
              </w:rPr>
              <w:t>0,151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Manacapuru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9124B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124BA">
              <w:rPr>
                <w:rFonts w:eastAsia="Times New Roman"/>
                <w:color w:val="000000"/>
                <w:szCs w:val="20"/>
                <w:lang w:eastAsia="pt-BR"/>
              </w:rPr>
              <w:t>0,000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Maués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790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9124B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124BA">
              <w:rPr>
                <w:rFonts w:eastAsia="Times New Roman"/>
                <w:color w:val="000000"/>
                <w:szCs w:val="20"/>
                <w:lang w:eastAsia="pt-BR"/>
              </w:rPr>
              <w:t>1,899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Parintins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1021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9124B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124BA">
              <w:rPr>
                <w:rFonts w:eastAsia="Times New Roman"/>
                <w:color w:val="000000"/>
                <w:szCs w:val="20"/>
                <w:lang w:eastAsia="pt-BR"/>
              </w:rPr>
              <w:t>13,222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Presidente Figueiredo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959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9124B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124BA">
              <w:rPr>
                <w:rFonts w:eastAsia="Times New Roman"/>
                <w:color w:val="000000"/>
                <w:szCs w:val="20"/>
                <w:lang w:eastAsia="pt-BR"/>
              </w:rPr>
              <w:t>7,612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São Gabriel da Cachoeira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889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9124B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124BA">
              <w:rPr>
                <w:rFonts w:eastAsia="Times New Roman"/>
                <w:color w:val="000000"/>
                <w:szCs w:val="20"/>
                <w:lang w:eastAsia="pt-BR"/>
              </w:rPr>
              <w:t>14,736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Tabatinga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722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9124B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124BA">
              <w:rPr>
                <w:rFonts w:eastAsia="Times New Roman"/>
                <w:color w:val="000000"/>
                <w:szCs w:val="20"/>
                <w:lang w:eastAsia="pt-BR"/>
              </w:rPr>
              <w:t>6,925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Tefé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347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9124B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124BA">
              <w:rPr>
                <w:rFonts w:eastAsia="Times New Roman"/>
                <w:color w:val="000000"/>
                <w:szCs w:val="20"/>
                <w:lang w:eastAsia="pt-BR"/>
              </w:rPr>
              <w:t>0,000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IFAM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szCs w:val="20"/>
                <w:lang w:eastAsia="pt-BR"/>
              </w:rPr>
              <w:t>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szCs w:val="20"/>
                <w:lang w:eastAsia="pt-BR"/>
              </w:rPr>
              <w:t>7.708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20.589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9124B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0"/>
                <w:lang w:eastAsia="pt-BR"/>
              </w:rPr>
            </w:pPr>
            <w:r w:rsidRPr="009124BA">
              <w:rPr>
                <w:rFonts w:eastAsia="Times New Roman"/>
                <w:b/>
                <w:color w:val="000000"/>
                <w:szCs w:val="20"/>
                <w:lang w:eastAsia="pt-BR"/>
              </w:rPr>
              <w:t>3,716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Fonte: Relatório extraído do sistema Q-Acadêmico e SISTEC (os concluintes), em 23/02/2015</w:t>
            </w:r>
          </w:p>
        </w:tc>
      </w:tr>
      <w:tr w:rsidR="008F2B62" w:rsidRPr="007B1B6F" w:rsidTr="00F913F3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</w:tr>
    </w:tbl>
    <w:p w:rsidR="008F2B62" w:rsidRDefault="008F2B62" w:rsidP="008F2B62">
      <w:pPr>
        <w:pStyle w:val="Legenda"/>
        <w:keepNext/>
        <w:jc w:val="center"/>
      </w:pPr>
      <w:bookmarkStart w:id="8" w:name="_Toc422408373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  <w:r>
        <w:t xml:space="preserve"> Relação Eficiência Acadêmica - Concluintes</w:t>
      </w:r>
      <w:bookmarkEnd w:id="8"/>
    </w:p>
    <w:tbl>
      <w:tblPr>
        <w:tblW w:w="97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134"/>
        <w:gridCol w:w="1134"/>
        <w:gridCol w:w="1240"/>
        <w:gridCol w:w="744"/>
        <w:gridCol w:w="146"/>
      </w:tblGrid>
      <w:tr w:rsidR="008F2B62" w:rsidRPr="0017011A" w:rsidTr="00F913F3">
        <w:trPr>
          <w:trHeight w:hRule="exact" w:val="284"/>
        </w:trPr>
        <w:tc>
          <w:tcPr>
            <w:tcW w:w="9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RELAÇÃO EFICIÊNCIA ACADÊMICA - CONCLUINTES</w:t>
            </w:r>
          </w:p>
        </w:tc>
      </w:tr>
      <w:tr w:rsidR="008F2B62" w:rsidRPr="0017011A" w:rsidTr="00F913F3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Campus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Concluintes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Integralizados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Evadidos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Desligados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Transferidos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Índice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</w:p>
        </w:tc>
      </w:tr>
      <w:tr w:rsidR="008F2B62" w:rsidRPr="0017011A" w:rsidTr="00F913F3">
        <w:trPr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Coari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5,26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8F2B62" w:rsidRPr="0017011A" w:rsidTr="00F913F3">
        <w:trPr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Eirunepé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8F2B62" w:rsidRPr="0017011A" w:rsidTr="00F913F3">
        <w:trPr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Humaitá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8F2B62" w:rsidRPr="0017011A" w:rsidTr="00F913F3">
        <w:trPr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Itacoatiara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8F2B62" w:rsidRPr="0017011A" w:rsidTr="00F913F3">
        <w:trPr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Lábrea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90,91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8F2B62" w:rsidRPr="0017011A" w:rsidTr="00F913F3">
        <w:trPr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Manaus Centro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3057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97,05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8F2B62" w:rsidRPr="0017011A" w:rsidTr="00F913F3">
        <w:trPr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Manaus Distrito Industrial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94,41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8F2B62" w:rsidRPr="0017011A" w:rsidTr="00F913F3">
        <w:trPr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Manaus Zona Leste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91,16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8F2B62" w:rsidRPr="0017011A" w:rsidTr="00F913F3">
        <w:trPr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Manacapuru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8F2B62" w:rsidRPr="0017011A" w:rsidTr="00F913F3">
        <w:trPr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Maués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88,36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8F2B62" w:rsidRPr="0017011A" w:rsidTr="00F913F3">
        <w:trPr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Parintins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97,41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8F2B62" w:rsidRPr="0017011A" w:rsidTr="00F913F3">
        <w:trPr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Presidente Figueiredo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88,50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8F2B62" w:rsidRPr="0017011A" w:rsidTr="00F913F3">
        <w:trPr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São Gabriel da Cachoeira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80,84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8F2B62" w:rsidRPr="0017011A" w:rsidTr="00F913F3">
        <w:trPr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Tabatinga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98,01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8F2B62" w:rsidRPr="0017011A" w:rsidTr="00F913F3">
        <w:trPr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Tefé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8F2B62" w:rsidRPr="0017011A" w:rsidTr="00F913F3">
        <w:trPr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Cs w:val="20"/>
                <w:lang w:eastAsia="pt-BR"/>
              </w:rPr>
              <w:t>IFAM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7.708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170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93,79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0"/>
                <w:lang w:eastAsia="pt-BR"/>
              </w:rPr>
            </w:pPr>
          </w:p>
        </w:tc>
      </w:tr>
      <w:tr w:rsidR="008F2B62" w:rsidRPr="0017011A" w:rsidTr="00F913F3">
        <w:trPr>
          <w:trHeight w:hRule="exact" w:val="284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Fonte: Relatório extraído do sistema Q-</w:t>
            </w:r>
            <w:r>
              <w:rPr>
                <w:rFonts w:eastAsia="Times New Roman"/>
                <w:color w:val="000000"/>
                <w:szCs w:val="20"/>
                <w:lang w:eastAsia="pt-BR"/>
              </w:rPr>
              <w:t>Aca</w:t>
            </w: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dêmico e SISTEC (os concluintes), em 23/02/2015</w:t>
            </w:r>
            <w:r w:rsidRPr="0017011A">
              <w:rPr>
                <w:rFonts w:eastAsia="Times New Roman"/>
                <w:szCs w:val="20"/>
                <w:lang w:eastAsia="pt-BR"/>
              </w:rPr>
              <w:t>  </w:t>
            </w:r>
          </w:p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</w:tr>
      <w:tr w:rsidR="008F2B62" w:rsidRPr="0017011A" w:rsidTr="00F913F3">
        <w:trPr>
          <w:trHeight w:hRule="exact" w:val="284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</w:tr>
    </w:tbl>
    <w:p w:rsidR="008F2B62" w:rsidRDefault="008F2B62" w:rsidP="008F2B62">
      <w:pPr>
        <w:spacing w:after="0"/>
      </w:pPr>
    </w:p>
    <w:p w:rsidR="008F2B62" w:rsidRDefault="008F2B62" w:rsidP="008F2B62">
      <w:pPr>
        <w:spacing w:after="0"/>
      </w:pPr>
    </w:p>
    <w:p w:rsidR="008F2B62" w:rsidRDefault="008F2B62" w:rsidP="008F2B62">
      <w:pPr>
        <w:spacing w:after="0"/>
      </w:pPr>
    </w:p>
    <w:p w:rsidR="008F2B62" w:rsidRDefault="008F2B62" w:rsidP="008F2B62">
      <w:pPr>
        <w:pStyle w:val="Legenda"/>
        <w:keepNext/>
        <w:jc w:val="center"/>
      </w:pPr>
      <w:bookmarkStart w:id="9" w:name="_Toc422408374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  <w:r>
        <w:t xml:space="preserve"> Retenção do Fluxo Escolar 2014</w:t>
      </w:r>
      <w:bookmarkEnd w:id="9"/>
    </w:p>
    <w:tbl>
      <w:tblPr>
        <w:tblW w:w="88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309"/>
        <w:gridCol w:w="2041"/>
        <w:gridCol w:w="1023"/>
      </w:tblGrid>
      <w:tr w:rsidR="008F2B62" w:rsidRPr="001E35BB" w:rsidTr="00F913F3">
        <w:trPr>
          <w:trHeight w:hRule="exact" w:val="284"/>
          <w:jc w:val="center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 xml:space="preserve">RETENÇÃO DO FLUXO ESCOLAR  </w:t>
            </w:r>
          </w:p>
        </w:tc>
      </w:tr>
      <w:tr w:rsidR="008F2B62" w:rsidRPr="001E35BB" w:rsidTr="00F913F3">
        <w:trPr>
          <w:trHeight w:hRule="exact" w:val="284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Campus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Retidos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Matriculados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Índice</w:t>
            </w:r>
          </w:p>
        </w:tc>
      </w:tr>
      <w:tr w:rsidR="008F2B62" w:rsidRPr="001E35BB" w:rsidTr="00F913F3">
        <w:trPr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Coari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1442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2,43</w:t>
            </w:r>
          </w:p>
        </w:tc>
      </w:tr>
      <w:tr w:rsidR="008F2B62" w:rsidRPr="001E35BB" w:rsidTr="00F913F3">
        <w:trPr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Eirunepé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158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0,00</w:t>
            </w:r>
          </w:p>
        </w:tc>
      </w:tr>
      <w:tr w:rsidR="008F2B62" w:rsidRPr="001E35BB" w:rsidTr="00F913F3">
        <w:trPr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Humaitá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742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0,00</w:t>
            </w:r>
          </w:p>
        </w:tc>
      </w:tr>
      <w:tr w:rsidR="008F2B62" w:rsidRPr="001E35BB" w:rsidTr="00F913F3">
        <w:trPr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Itacoatiara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37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361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10,25</w:t>
            </w:r>
          </w:p>
        </w:tc>
      </w:tr>
      <w:tr w:rsidR="008F2B62" w:rsidRPr="001E35BB" w:rsidTr="00F913F3">
        <w:trPr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Lábrea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123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1129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10,89</w:t>
            </w:r>
          </w:p>
        </w:tc>
      </w:tr>
      <w:tr w:rsidR="008F2B62" w:rsidRPr="001E35BB" w:rsidTr="00F913F3">
        <w:trPr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Manaus Centro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1297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8887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14,59</w:t>
            </w:r>
          </w:p>
        </w:tc>
      </w:tr>
      <w:tr w:rsidR="008F2B62" w:rsidRPr="001E35BB" w:rsidTr="00F913F3">
        <w:trPr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Manaus Distrito Industrial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373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1743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21,40</w:t>
            </w:r>
          </w:p>
        </w:tc>
      </w:tr>
      <w:tr w:rsidR="008F2B62" w:rsidRPr="001E35BB" w:rsidTr="00F913F3">
        <w:trPr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Manaus Zona Leste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161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1324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12,16</w:t>
            </w:r>
          </w:p>
        </w:tc>
      </w:tr>
      <w:tr w:rsidR="008F2B62" w:rsidRPr="001E35BB" w:rsidTr="00F913F3">
        <w:trPr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Manacapuru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0,00</w:t>
            </w:r>
          </w:p>
        </w:tc>
      </w:tr>
      <w:tr w:rsidR="008F2B62" w:rsidRPr="001E35BB" w:rsidTr="00F913F3">
        <w:trPr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Maués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77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790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9,75</w:t>
            </w:r>
          </w:p>
        </w:tc>
      </w:tr>
      <w:tr w:rsidR="008F2B62" w:rsidRPr="001E35BB" w:rsidTr="00F913F3">
        <w:trPr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Parintins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220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1021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21,55</w:t>
            </w:r>
          </w:p>
        </w:tc>
      </w:tr>
      <w:tr w:rsidR="008F2B62" w:rsidRPr="001E35BB" w:rsidTr="00F913F3">
        <w:trPr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Presidente Figueiredo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158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959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16,48</w:t>
            </w:r>
          </w:p>
        </w:tc>
      </w:tr>
      <w:tr w:rsidR="008F2B62" w:rsidRPr="001E35BB" w:rsidTr="00F913F3">
        <w:trPr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São Gabriel da Cachoeira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40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889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4,50</w:t>
            </w:r>
          </w:p>
        </w:tc>
      </w:tr>
      <w:tr w:rsidR="008F2B62" w:rsidRPr="001E35BB" w:rsidTr="00F913F3">
        <w:trPr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Tabatinga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246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722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34,07</w:t>
            </w:r>
          </w:p>
        </w:tc>
      </w:tr>
      <w:tr w:rsidR="008F2B62" w:rsidRPr="001E35BB" w:rsidTr="00F913F3">
        <w:trPr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pt-BR"/>
              </w:rPr>
            </w:pPr>
            <w:r w:rsidRPr="001E35BB">
              <w:rPr>
                <w:rFonts w:eastAsia="Times New Roman"/>
                <w:szCs w:val="20"/>
                <w:lang w:eastAsia="pt-BR"/>
              </w:rPr>
              <w:t>Tefé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1E35BB">
              <w:rPr>
                <w:rFonts w:eastAsia="Times New Roman"/>
                <w:szCs w:val="20"/>
                <w:lang w:eastAsia="pt-BR"/>
              </w:rPr>
              <w:t>21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347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6,05</w:t>
            </w:r>
          </w:p>
        </w:tc>
      </w:tr>
      <w:tr w:rsidR="008F2B62" w:rsidRPr="001E35BB" w:rsidTr="00F913F3">
        <w:trPr>
          <w:trHeight w:hRule="exact" w:val="284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IFAM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2.788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20.589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13,54</w:t>
            </w:r>
          </w:p>
        </w:tc>
      </w:tr>
      <w:tr w:rsidR="008F2B62" w:rsidRPr="001E35BB" w:rsidTr="00F913F3">
        <w:trPr>
          <w:trHeight w:hRule="exact" w:val="284"/>
          <w:jc w:val="center"/>
        </w:trPr>
        <w:tc>
          <w:tcPr>
            <w:tcW w:w="883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Fonte: Relatório extraído do sistema Q-Acadêmico, em 23/02/2015</w:t>
            </w:r>
          </w:p>
        </w:tc>
      </w:tr>
    </w:tbl>
    <w:p w:rsidR="008F2B62" w:rsidRDefault="008F2B62" w:rsidP="008F2B62">
      <w:pPr>
        <w:spacing w:after="0"/>
      </w:pPr>
    </w:p>
    <w:p w:rsidR="008F2B62" w:rsidRDefault="008F2B62" w:rsidP="008F2B62">
      <w:pPr>
        <w:spacing w:after="0"/>
      </w:pPr>
    </w:p>
    <w:p w:rsidR="008F2B62" w:rsidRDefault="008F2B62" w:rsidP="008F2B62">
      <w:pPr>
        <w:pStyle w:val="Legenda"/>
        <w:keepNext/>
        <w:jc w:val="center"/>
      </w:pPr>
      <w:bookmarkStart w:id="10" w:name="_Toc422408375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  <w:r>
        <w:t xml:space="preserve"> Relação Alunos/Docentes em tempo Integral</w:t>
      </w:r>
      <w:bookmarkEnd w:id="10"/>
    </w:p>
    <w:tbl>
      <w:tblPr>
        <w:tblW w:w="8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6"/>
        <w:gridCol w:w="3227"/>
        <w:gridCol w:w="1894"/>
        <w:gridCol w:w="741"/>
      </w:tblGrid>
      <w:tr w:rsidR="008F2B62" w:rsidRPr="00830FEA" w:rsidTr="00F913F3">
        <w:trPr>
          <w:trHeight w:hRule="exact" w:val="284"/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RELAÇÃO ALUNOS / DOCENTES EM TEMPO INTEGRAL</w:t>
            </w:r>
          </w:p>
        </w:tc>
      </w:tr>
      <w:tr w:rsidR="008F2B62" w:rsidRPr="00830FEA" w:rsidTr="00F913F3">
        <w:trPr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Campus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Docente em Tempo Integral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Matrículas 2014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Índice</w:t>
            </w:r>
          </w:p>
        </w:tc>
      </w:tr>
      <w:tr w:rsidR="008F2B62" w:rsidRPr="00830FEA" w:rsidTr="00F913F3">
        <w:trPr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Coari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27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1442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53,41</w:t>
            </w:r>
          </w:p>
        </w:tc>
      </w:tr>
      <w:tr w:rsidR="008F2B62" w:rsidRPr="00830FEA" w:rsidTr="00F913F3">
        <w:trPr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Eirunepé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158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31,60</w:t>
            </w:r>
          </w:p>
        </w:tc>
      </w:tr>
      <w:tr w:rsidR="008F2B62" w:rsidRPr="00830FEA" w:rsidTr="00F913F3">
        <w:trPr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Humaitá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17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742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43,65</w:t>
            </w:r>
          </w:p>
        </w:tc>
      </w:tr>
      <w:tr w:rsidR="008F2B62" w:rsidRPr="00830FEA" w:rsidTr="00F913F3">
        <w:trPr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Itacoatiara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361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18,05</w:t>
            </w:r>
          </w:p>
        </w:tc>
      </w:tr>
      <w:tr w:rsidR="008F2B62" w:rsidRPr="00830FEA" w:rsidTr="00F913F3">
        <w:trPr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Lábrea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25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1129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45,16</w:t>
            </w:r>
          </w:p>
        </w:tc>
      </w:tr>
      <w:tr w:rsidR="008F2B62" w:rsidRPr="00830FEA" w:rsidTr="00F913F3">
        <w:trPr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Manaus Centro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196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8887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45,34</w:t>
            </w:r>
          </w:p>
        </w:tc>
      </w:tr>
      <w:tr w:rsidR="008F2B62" w:rsidRPr="00830FEA" w:rsidTr="00F913F3">
        <w:trPr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Manaus Distrito Industrial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73,5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1743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23,71</w:t>
            </w:r>
          </w:p>
        </w:tc>
      </w:tr>
      <w:tr w:rsidR="008F2B62" w:rsidRPr="00830FEA" w:rsidTr="00F913F3">
        <w:trPr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Manaus Zona Leste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75,5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1324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17,54</w:t>
            </w:r>
          </w:p>
        </w:tc>
      </w:tr>
      <w:tr w:rsidR="008F2B62" w:rsidRPr="00830FEA" w:rsidTr="00F913F3">
        <w:trPr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Manacapuru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0,00</w:t>
            </w:r>
          </w:p>
        </w:tc>
      </w:tr>
      <w:tr w:rsidR="008F2B62" w:rsidRPr="00830FEA" w:rsidTr="00F913F3">
        <w:trPr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Maués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33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790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23,94</w:t>
            </w:r>
          </w:p>
        </w:tc>
      </w:tr>
      <w:tr w:rsidR="008F2B62" w:rsidRPr="00830FEA" w:rsidTr="00F913F3">
        <w:trPr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Parintins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40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1021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25,53</w:t>
            </w:r>
          </w:p>
        </w:tc>
      </w:tr>
      <w:tr w:rsidR="008F2B62" w:rsidRPr="00830FEA" w:rsidTr="00F913F3">
        <w:trPr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Presidente Figueiredo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30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959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31,97</w:t>
            </w:r>
          </w:p>
        </w:tc>
      </w:tr>
      <w:tr w:rsidR="008F2B62" w:rsidRPr="00830FEA" w:rsidTr="00F913F3">
        <w:trPr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São Gabriel da Cachoeira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36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889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24,69</w:t>
            </w:r>
          </w:p>
        </w:tc>
      </w:tr>
      <w:tr w:rsidR="008F2B62" w:rsidRPr="00830FEA" w:rsidTr="00F913F3">
        <w:trPr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Tabatinga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34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722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21,24</w:t>
            </w:r>
          </w:p>
        </w:tc>
      </w:tr>
      <w:tr w:rsidR="008F2B62" w:rsidRPr="00830FEA" w:rsidTr="00F913F3">
        <w:trPr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pt-BR"/>
              </w:rPr>
            </w:pPr>
            <w:r w:rsidRPr="00830FEA">
              <w:rPr>
                <w:rFonts w:eastAsia="Times New Roman"/>
                <w:szCs w:val="20"/>
                <w:lang w:eastAsia="pt-BR"/>
              </w:rPr>
              <w:t>Tefé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830FEA">
              <w:rPr>
                <w:rFonts w:eastAsia="Times New Roman"/>
                <w:szCs w:val="20"/>
                <w:lang w:eastAsia="pt-BR"/>
              </w:rPr>
              <w:t>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347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43,38</w:t>
            </w:r>
          </w:p>
        </w:tc>
      </w:tr>
      <w:tr w:rsidR="008F2B62" w:rsidRPr="00830FEA" w:rsidTr="00F913F3">
        <w:trPr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IFAM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620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20.589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33,21</w:t>
            </w:r>
          </w:p>
        </w:tc>
      </w:tr>
      <w:tr w:rsidR="008F2B62" w:rsidRPr="00830FEA" w:rsidTr="00F913F3">
        <w:trPr>
          <w:trHeight w:hRule="exact" w:val="284"/>
          <w:jc w:val="center"/>
        </w:trPr>
        <w:tc>
          <w:tcPr>
            <w:tcW w:w="6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B62" w:rsidRPr="00830FEA" w:rsidRDefault="008F2B62" w:rsidP="00F913F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FONTE: DGP; /SISTEC / CEPI, em 23.02.2015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</w:tr>
    </w:tbl>
    <w:p w:rsidR="008F2B62" w:rsidRDefault="008F2B62" w:rsidP="008F2B62">
      <w:pPr>
        <w:keepNext/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4513FD80" wp14:editId="2AF0F7A2">
            <wp:extent cx="4204943" cy="2657475"/>
            <wp:effectExtent l="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14466" cy="266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62" w:rsidRDefault="008F2B62" w:rsidP="008F2B62">
      <w:pPr>
        <w:pStyle w:val="Legenda"/>
        <w:spacing w:after="0"/>
        <w:jc w:val="center"/>
        <w:rPr>
          <w:noProof/>
        </w:rPr>
      </w:pPr>
      <w:bookmarkStart w:id="11" w:name="_Toc415643611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  <w:r>
        <w:t xml:space="preserve"> </w:t>
      </w:r>
      <w:proofErr w:type="gramStart"/>
      <w:r w:rsidRPr="000747D4">
        <w:t>Nº  de</w:t>
      </w:r>
      <w:proofErr w:type="gramEnd"/>
      <w:r w:rsidRPr="000747D4">
        <w:t xml:space="preserve"> Alunos Matriculados por RPC (0-0,5SM)</w:t>
      </w:r>
      <w:bookmarkEnd w:id="11"/>
      <w:r>
        <w:rPr>
          <w:noProof/>
        </w:rPr>
        <w:t xml:space="preserve"> </w:t>
      </w:r>
    </w:p>
    <w:p w:rsidR="008F2B62" w:rsidRDefault="008F2B62" w:rsidP="008F2B62">
      <w:pPr>
        <w:pStyle w:val="Legenda"/>
        <w:spacing w:after="0"/>
        <w:jc w:val="center"/>
        <w:rPr>
          <w:b/>
          <w:i w:val="0"/>
          <w:sz w:val="24"/>
          <w:szCs w:val="24"/>
        </w:rPr>
      </w:pPr>
      <w:r>
        <w:rPr>
          <w:noProof/>
        </w:rPr>
        <w:t>Fonte: PROEN</w:t>
      </w:r>
    </w:p>
    <w:p w:rsidR="008F2B62" w:rsidRPr="006F6439" w:rsidRDefault="008F2B62" w:rsidP="008F2B62"/>
    <w:p w:rsidR="008F2B62" w:rsidRDefault="008F2B62" w:rsidP="008F2B62">
      <w:pPr>
        <w:keepNext/>
        <w:jc w:val="center"/>
      </w:pPr>
      <w:r>
        <w:rPr>
          <w:noProof/>
          <w:lang w:eastAsia="pt-BR"/>
        </w:rPr>
        <w:drawing>
          <wp:inline distT="0" distB="0" distL="0" distR="0" wp14:anchorId="7958DD69" wp14:editId="613303FF">
            <wp:extent cx="4284122" cy="2714625"/>
            <wp:effectExtent l="0" t="0" r="254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03968" cy="2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62" w:rsidRDefault="008F2B62" w:rsidP="008F2B62">
      <w:pPr>
        <w:pStyle w:val="Legenda"/>
        <w:spacing w:after="0"/>
        <w:jc w:val="center"/>
        <w:rPr>
          <w:noProof/>
        </w:rPr>
      </w:pPr>
      <w:bookmarkStart w:id="12" w:name="_Toc415643612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proofErr w:type="gramStart"/>
      <w:r>
        <w:rPr>
          <w:noProof/>
        </w:rPr>
        <w:t>34</w:t>
      </w:r>
      <w:r>
        <w:rPr>
          <w:noProof/>
        </w:rPr>
        <w:fldChar w:fldCharType="end"/>
      </w:r>
      <w:r>
        <w:t xml:space="preserve"> </w:t>
      </w:r>
      <w:r w:rsidRPr="004965DF">
        <w:t xml:space="preserve"> Nº</w:t>
      </w:r>
      <w:proofErr w:type="gramEnd"/>
      <w:r w:rsidRPr="004965DF">
        <w:t xml:space="preserve">  de Alunos Matriculados por RPC (0,5-1SM)</w:t>
      </w:r>
      <w:bookmarkEnd w:id="12"/>
      <w:r>
        <w:rPr>
          <w:noProof/>
        </w:rPr>
        <w:t xml:space="preserve"> </w:t>
      </w:r>
    </w:p>
    <w:p w:rsidR="008F2B62" w:rsidRDefault="008F2B62" w:rsidP="008F2B62">
      <w:pPr>
        <w:pStyle w:val="Legenda"/>
        <w:spacing w:after="0"/>
        <w:jc w:val="center"/>
      </w:pPr>
      <w:r>
        <w:rPr>
          <w:noProof/>
        </w:rPr>
        <w:t>Fonte:PROEN</w:t>
      </w:r>
    </w:p>
    <w:p w:rsidR="008F2B62" w:rsidRDefault="008F2B62" w:rsidP="008F2B62"/>
    <w:p w:rsidR="008F2B62" w:rsidRDefault="008F2B62" w:rsidP="008F2B62"/>
    <w:p w:rsidR="008F2B62" w:rsidRDefault="008F2B62" w:rsidP="008F2B62"/>
    <w:p w:rsidR="008F2B62" w:rsidRDefault="008F2B62" w:rsidP="008F2B62">
      <w:pPr>
        <w:keepNext/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7D2D3B67" wp14:editId="4B4CE297">
            <wp:extent cx="4388256" cy="2796540"/>
            <wp:effectExtent l="0" t="0" r="0" b="381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19211" cy="287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62" w:rsidRDefault="008F2B62" w:rsidP="008F2B62">
      <w:pPr>
        <w:pStyle w:val="Legenda"/>
        <w:spacing w:after="0"/>
        <w:jc w:val="center"/>
        <w:rPr>
          <w:noProof/>
        </w:rPr>
      </w:pPr>
      <w:bookmarkStart w:id="13" w:name="_Toc415643613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  <w:r w:rsidRPr="008B21DE">
        <w:t xml:space="preserve"> </w:t>
      </w:r>
      <w:proofErr w:type="gramStart"/>
      <w:r w:rsidRPr="008B21DE">
        <w:t>Nº  de</w:t>
      </w:r>
      <w:proofErr w:type="gramEnd"/>
      <w:r w:rsidRPr="008B21DE">
        <w:t xml:space="preserve"> Alunos Matriculados por RPC (1-1,5SM)</w:t>
      </w:r>
      <w:bookmarkEnd w:id="13"/>
      <w:r>
        <w:rPr>
          <w:noProof/>
        </w:rPr>
        <w:t xml:space="preserve"> </w:t>
      </w:r>
    </w:p>
    <w:p w:rsidR="008F2B62" w:rsidRDefault="008F2B62" w:rsidP="008F2B62">
      <w:pPr>
        <w:pStyle w:val="Legenda"/>
        <w:spacing w:after="0"/>
        <w:jc w:val="center"/>
      </w:pPr>
      <w:r>
        <w:rPr>
          <w:noProof/>
        </w:rPr>
        <w:t>Fonte: PROEN</w:t>
      </w:r>
    </w:p>
    <w:p w:rsidR="008F2B62" w:rsidRPr="006F6439" w:rsidRDefault="008F2B62" w:rsidP="008F2B62"/>
    <w:p w:rsidR="008F2B62" w:rsidRDefault="008F2B62" w:rsidP="008F2B62">
      <w:pPr>
        <w:keepNext/>
        <w:jc w:val="center"/>
      </w:pPr>
      <w:r>
        <w:rPr>
          <w:noProof/>
          <w:lang w:eastAsia="pt-BR"/>
        </w:rPr>
        <w:drawing>
          <wp:inline distT="0" distB="0" distL="0" distR="0" wp14:anchorId="5F9DA494" wp14:editId="3DBFA6EB">
            <wp:extent cx="4480649" cy="2809875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494520" cy="281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62" w:rsidRDefault="008F2B62" w:rsidP="008F2B62">
      <w:pPr>
        <w:pStyle w:val="Legenda"/>
        <w:spacing w:after="0"/>
        <w:jc w:val="center"/>
        <w:rPr>
          <w:noProof/>
        </w:rPr>
      </w:pPr>
      <w:bookmarkStart w:id="14" w:name="_Toc415643614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proofErr w:type="gramStart"/>
      <w:r>
        <w:rPr>
          <w:noProof/>
        </w:rPr>
        <w:t>36</w:t>
      </w:r>
      <w:r>
        <w:rPr>
          <w:noProof/>
        </w:rPr>
        <w:fldChar w:fldCharType="end"/>
      </w:r>
      <w:r>
        <w:t xml:space="preserve"> </w:t>
      </w:r>
      <w:r w:rsidRPr="00A868F4">
        <w:t xml:space="preserve"> Nº</w:t>
      </w:r>
      <w:proofErr w:type="gramEnd"/>
      <w:r w:rsidRPr="00A868F4">
        <w:t xml:space="preserve"> de Alunos Matriculados por RPC (1,5-2,5SM)</w:t>
      </w:r>
      <w:bookmarkEnd w:id="14"/>
      <w:r>
        <w:rPr>
          <w:noProof/>
        </w:rPr>
        <w:t xml:space="preserve">  </w:t>
      </w:r>
    </w:p>
    <w:p w:rsidR="008F2B62" w:rsidRDefault="008F2B62" w:rsidP="008F2B62">
      <w:pPr>
        <w:pStyle w:val="Legenda"/>
        <w:spacing w:after="0"/>
        <w:jc w:val="center"/>
      </w:pPr>
      <w:r>
        <w:rPr>
          <w:noProof/>
        </w:rPr>
        <w:t>Fonte:PROEN</w:t>
      </w:r>
    </w:p>
    <w:p w:rsidR="008F2B62" w:rsidRDefault="008F2B62" w:rsidP="008F2B62"/>
    <w:p w:rsidR="008F2B62" w:rsidRDefault="008F2B62" w:rsidP="008F2B62"/>
    <w:p w:rsidR="008F2B62" w:rsidRDefault="008F2B62" w:rsidP="008F2B62">
      <w:pPr>
        <w:keepNext/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7C736773" wp14:editId="72549E0F">
            <wp:extent cx="4495800" cy="3008702"/>
            <wp:effectExtent l="0" t="0" r="0" b="127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21935" cy="302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62" w:rsidRDefault="008F2B62" w:rsidP="008F2B62">
      <w:pPr>
        <w:pStyle w:val="Legenda"/>
        <w:spacing w:after="0"/>
        <w:jc w:val="center"/>
        <w:rPr>
          <w:noProof/>
        </w:rPr>
      </w:pPr>
      <w:bookmarkStart w:id="15" w:name="_Toc415643615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  <w:proofErr w:type="gramStart"/>
      <w:r>
        <w:t xml:space="preserve"> </w:t>
      </w:r>
      <w:r w:rsidRPr="00DE7795">
        <w:t>Figura</w:t>
      </w:r>
      <w:proofErr w:type="gramEnd"/>
      <w:r w:rsidRPr="00DE7795">
        <w:t xml:space="preserve"> 37 Nº de Alunos Matriculados por RPC (2,5-3SM)</w:t>
      </w:r>
      <w:bookmarkEnd w:id="15"/>
      <w:r>
        <w:rPr>
          <w:noProof/>
        </w:rPr>
        <w:t xml:space="preserve"> </w:t>
      </w:r>
    </w:p>
    <w:p w:rsidR="008F2B62" w:rsidRDefault="008F2B62" w:rsidP="008F2B62">
      <w:pPr>
        <w:pStyle w:val="Legenda"/>
        <w:spacing w:after="0"/>
        <w:jc w:val="center"/>
      </w:pPr>
      <w:r>
        <w:rPr>
          <w:noProof/>
        </w:rPr>
        <w:t>Fonte: PROEN</w:t>
      </w:r>
    </w:p>
    <w:p w:rsidR="008F2B62" w:rsidRDefault="008F2B62" w:rsidP="008F2B62">
      <w:pPr>
        <w:pStyle w:val="Ttulo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F2B62" w:rsidRDefault="008F2B62" w:rsidP="008F2B62">
      <w:pPr>
        <w:pStyle w:val="Ttulo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16" w:name="_Toc422492655"/>
      <w:bookmarkStart w:id="17" w:name="_Toc422492890"/>
      <w:bookmarkStart w:id="18" w:name="_Toc422492943"/>
      <w:r w:rsidRPr="00BD16FC">
        <w:rPr>
          <w:rFonts w:ascii="Times New Roman" w:hAnsi="Times New Roman"/>
          <w:b w:val="0"/>
          <w:i w:val="0"/>
          <w:sz w:val="24"/>
          <w:szCs w:val="24"/>
        </w:rPr>
        <w:t>5.5 Informações sobre custos de produtos e serviços</w:t>
      </w:r>
      <w:bookmarkEnd w:id="16"/>
      <w:bookmarkEnd w:id="17"/>
      <w:bookmarkEnd w:id="18"/>
      <w:r w:rsidRPr="00BD16F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8F2B62" w:rsidRDefault="008F2B62" w:rsidP="008F2B62">
      <w:pPr>
        <w:pStyle w:val="Legenda"/>
        <w:keepNext/>
      </w:pPr>
    </w:p>
    <w:p w:rsidR="008F2B62" w:rsidRDefault="008F2B62" w:rsidP="008F2B62">
      <w:pPr>
        <w:keepNext/>
        <w:jc w:val="center"/>
      </w:pPr>
      <w:r>
        <w:rPr>
          <w:noProof/>
          <w:lang w:eastAsia="pt-BR"/>
        </w:rPr>
        <w:drawing>
          <wp:inline distT="0" distB="0" distL="0" distR="0" wp14:anchorId="3340AC3F" wp14:editId="531CBE09">
            <wp:extent cx="3790950" cy="2542898"/>
            <wp:effectExtent l="0" t="0" r="0" b="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814654" cy="25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62" w:rsidRDefault="008F2B62" w:rsidP="008F2B62">
      <w:pPr>
        <w:pStyle w:val="Legenda"/>
        <w:spacing w:after="0"/>
        <w:jc w:val="center"/>
      </w:pPr>
      <w:bookmarkStart w:id="19" w:name="_Toc415643616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  <w:r>
        <w:t xml:space="preserve"> </w:t>
      </w:r>
      <w:r w:rsidRPr="003201B3">
        <w:t>Gastos Correntes por Aluno</w:t>
      </w:r>
      <w:bookmarkEnd w:id="19"/>
      <w:r>
        <w:t xml:space="preserve"> </w:t>
      </w:r>
    </w:p>
    <w:p w:rsidR="008F2B62" w:rsidRDefault="008F2B62" w:rsidP="008F2B62">
      <w:pPr>
        <w:pStyle w:val="Legenda"/>
        <w:spacing w:after="0"/>
        <w:jc w:val="center"/>
      </w:pPr>
      <w:r>
        <w:t>Fonte: PROAD</w:t>
      </w:r>
    </w:p>
    <w:p w:rsidR="008F2B62" w:rsidRPr="003A7FE8" w:rsidRDefault="008F2B62" w:rsidP="008F2B62"/>
    <w:p w:rsidR="008F2B62" w:rsidRDefault="008F2B62" w:rsidP="008F2B62">
      <w:pPr>
        <w:keepNext/>
        <w:spacing w:after="0"/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10B32E3F" wp14:editId="4501EB99">
            <wp:extent cx="4674483" cy="3086100"/>
            <wp:effectExtent l="0" t="0" r="0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99662" cy="310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62" w:rsidRDefault="008F2B62" w:rsidP="008F2B62">
      <w:pPr>
        <w:pStyle w:val="Legenda"/>
        <w:spacing w:after="0"/>
        <w:jc w:val="center"/>
        <w:rPr>
          <w:noProof/>
        </w:rPr>
      </w:pPr>
      <w:bookmarkStart w:id="20" w:name="_Toc415643617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proofErr w:type="gramStart"/>
      <w:r>
        <w:rPr>
          <w:noProof/>
        </w:rPr>
        <w:t>39</w:t>
      </w:r>
      <w:r>
        <w:rPr>
          <w:noProof/>
        </w:rPr>
        <w:fldChar w:fldCharType="end"/>
      </w:r>
      <w:r>
        <w:t xml:space="preserve"> </w:t>
      </w:r>
      <w:r w:rsidRPr="00A372D0">
        <w:t xml:space="preserve"> Percentual</w:t>
      </w:r>
      <w:proofErr w:type="gramEnd"/>
      <w:r w:rsidRPr="00A372D0">
        <w:t xml:space="preserve"> de Gastos com pessoal</w:t>
      </w:r>
      <w:bookmarkEnd w:id="20"/>
      <w:r>
        <w:rPr>
          <w:noProof/>
        </w:rPr>
        <w:t xml:space="preserve"> </w:t>
      </w:r>
    </w:p>
    <w:p w:rsidR="008F2B62" w:rsidRDefault="008F2B62" w:rsidP="008F2B62">
      <w:pPr>
        <w:pStyle w:val="Legenda"/>
        <w:spacing w:after="0"/>
        <w:jc w:val="center"/>
      </w:pPr>
      <w:r>
        <w:rPr>
          <w:noProof/>
        </w:rPr>
        <w:t>Fonte:PROAD</w:t>
      </w:r>
    </w:p>
    <w:p w:rsidR="008F2B62" w:rsidRDefault="008F2B62" w:rsidP="008F2B62">
      <w:pPr>
        <w:spacing w:after="0"/>
      </w:pPr>
    </w:p>
    <w:p w:rsidR="008F2B62" w:rsidRDefault="008F2B62" w:rsidP="008F2B62">
      <w:pPr>
        <w:spacing w:after="0"/>
      </w:pPr>
    </w:p>
    <w:p w:rsidR="008F2B62" w:rsidRDefault="008F2B62" w:rsidP="008F2B62">
      <w:pPr>
        <w:keepNext/>
        <w:spacing w:after="160" w:line="259" w:lineRule="auto"/>
        <w:jc w:val="center"/>
      </w:pPr>
      <w:r>
        <w:rPr>
          <w:noProof/>
          <w:lang w:eastAsia="pt-BR"/>
        </w:rPr>
        <w:drawing>
          <wp:inline distT="0" distB="0" distL="0" distR="0" wp14:anchorId="75B815B6" wp14:editId="3225CBBF">
            <wp:extent cx="4724400" cy="3177368"/>
            <wp:effectExtent l="0" t="0" r="0" b="4445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738310" cy="318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62" w:rsidRDefault="008F2B62" w:rsidP="008F2B62">
      <w:pPr>
        <w:pStyle w:val="Legenda"/>
        <w:spacing w:after="0"/>
        <w:jc w:val="center"/>
        <w:rPr>
          <w:noProof/>
        </w:rPr>
      </w:pPr>
      <w:bookmarkStart w:id="21" w:name="_Toc415643618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  <w:r>
        <w:t xml:space="preserve"> </w:t>
      </w:r>
      <w:r w:rsidRPr="00846A79">
        <w:t>Percentual de Gastos com outros Custeios</w:t>
      </w:r>
      <w:bookmarkEnd w:id="21"/>
      <w:r>
        <w:rPr>
          <w:noProof/>
        </w:rPr>
        <w:t xml:space="preserve"> </w:t>
      </w:r>
    </w:p>
    <w:p w:rsidR="008F2B62" w:rsidRDefault="008F2B62" w:rsidP="008F2B62">
      <w:pPr>
        <w:pStyle w:val="Legenda"/>
        <w:spacing w:after="0"/>
        <w:jc w:val="center"/>
        <w:rPr>
          <w:sz w:val="24"/>
          <w:szCs w:val="24"/>
        </w:rPr>
      </w:pPr>
      <w:r>
        <w:rPr>
          <w:noProof/>
        </w:rPr>
        <w:t>Fonte:PROAD</w:t>
      </w:r>
    </w:p>
    <w:p w:rsidR="008F2B62" w:rsidRDefault="008F2B62" w:rsidP="008F2B62">
      <w:pPr>
        <w:keepNext/>
        <w:spacing w:after="160" w:line="259" w:lineRule="auto"/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6F063620" wp14:editId="5C575E5D">
            <wp:extent cx="4911496" cy="3238500"/>
            <wp:effectExtent l="0" t="0" r="381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917948" cy="324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62" w:rsidRDefault="008F2B62" w:rsidP="008F2B62">
      <w:pPr>
        <w:pStyle w:val="Legenda"/>
        <w:spacing w:after="0"/>
        <w:jc w:val="center"/>
        <w:rPr>
          <w:noProof/>
        </w:rPr>
      </w:pPr>
      <w:bookmarkStart w:id="22" w:name="_Toc415643619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  <w:r>
        <w:t xml:space="preserve"> </w:t>
      </w:r>
      <w:r w:rsidRPr="00AA12D1">
        <w:t>Percentual de Gastos com Investimento</w:t>
      </w:r>
      <w:bookmarkEnd w:id="22"/>
      <w:r>
        <w:rPr>
          <w:noProof/>
        </w:rPr>
        <w:t xml:space="preserve"> </w:t>
      </w:r>
    </w:p>
    <w:p w:rsidR="008F2B62" w:rsidRDefault="008F2B62" w:rsidP="008F2B62">
      <w:pPr>
        <w:pStyle w:val="Legenda"/>
        <w:spacing w:after="0"/>
        <w:jc w:val="center"/>
        <w:rPr>
          <w:sz w:val="24"/>
          <w:szCs w:val="24"/>
        </w:rPr>
      </w:pPr>
      <w:r>
        <w:rPr>
          <w:noProof/>
        </w:rPr>
        <w:t>Fonte:PROAD</w:t>
      </w:r>
    </w:p>
    <w:p w:rsidR="008F2B62" w:rsidRDefault="008F2B62" w:rsidP="008F2B62">
      <w:pPr>
        <w:spacing w:after="160" w:line="259" w:lineRule="auto"/>
        <w:rPr>
          <w:sz w:val="24"/>
          <w:szCs w:val="24"/>
        </w:rPr>
      </w:pPr>
    </w:p>
    <w:p w:rsidR="008F2B62" w:rsidRPr="004A243D" w:rsidRDefault="008F2B62" w:rsidP="008F2B62">
      <w:pPr>
        <w:spacing w:after="160" w:line="259" w:lineRule="auto"/>
        <w:ind w:firstLine="567"/>
        <w:jc w:val="both"/>
        <w:rPr>
          <w:sz w:val="24"/>
          <w:szCs w:val="24"/>
        </w:rPr>
      </w:pPr>
      <w:r w:rsidRPr="004A243D">
        <w:rPr>
          <w:sz w:val="24"/>
          <w:szCs w:val="24"/>
        </w:rPr>
        <w:t>O gasto corrente com alunos</w:t>
      </w:r>
      <w:r>
        <w:rPr>
          <w:sz w:val="24"/>
          <w:szCs w:val="24"/>
        </w:rPr>
        <w:t xml:space="preserve"> aumentou pouco, cerca de 1,44%. Est</w:t>
      </w:r>
      <w:r w:rsidRPr="004A243D">
        <w:rPr>
          <w:sz w:val="24"/>
          <w:szCs w:val="24"/>
        </w:rPr>
        <w:t>e aumento deu-se devido ao aumento de gastos com pessoal, pois os demais grupos de despesas tiveram decréscimo no que diz respeito ao valor absoluto.</w:t>
      </w:r>
    </w:p>
    <w:p w:rsidR="008F2B62" w:rsidRPr="004A243D" w:rsidRDefault="008F2B62" w:rsidP="008F2B62">
      <w:pPr>
        <w:spacing w:after="160" w:line="259" w:lineRule="auto"/>
        <w:ind w:firstLine="567"/>
        <w:jc w:val="both"/>
        <w:rPr>
          <w:sz w:val="24"/>
          <w:szCs w:val="24"/>
        </w:rPr>
      </w:pPr>
      <w:r w:rsidRPr="004A243D">
        <w:rPr>
          <w:sz w:val="24"/>
          <w:szCs w:val="24"/>
        </w:rPr>
        <w:t>Os gastos com pessoal aumentaram bastante devido a entrada em fu</w:t>
      </w:r>
      <w:r>
        <w:rPr>
          <w:sz w:val="24"/>
          <w:szCs w:val="24"/>
        </w:rPr>
        <w:t>n</w:t>
      </w:r>
      <w:r w:rsidRPr="004A243D">
        <w:rPr>
          <w:sz w:val="24"/>
          <w:szCs w:val="24"/>
        </w:rPr>
        <w:t>cionamento de 4 novos Campi, que apesar de não estarem funcionando em sua plenitude, já possuem docentes e técnico</w:t>
      </w:r>
      <w:r>
        <w:rPr>
          <w:sz w:val="24"/>
          <w:szCs w:val="24"/>
        </w:rPr>
        <w:t xml:space="preserve">s administrativos </w:t>
      </w:r>
      <w:r w:rsidRPr="004A243D">
        <w:rPr>
          <w:sz w:val="24"/>
          <w:szCs w:val="24"/>
        </w:rPr>
        <w:t>para atender as demandas administrativas e pedagógicas.</w:t>
      </w:r>
    </w:p>
    <w:p w:rsidR="008F2B62" w:rsidRPr="004A243D" w:rsidRDefault="008F2B62" w:rsidP="008F2B62">
      <w:pPr>
        <w:spacing w:after="160" w:line="259" w:lineRule="auto"/>
        <w:ind w:firstLine="567"/>
        <w:jc w:val="both"/>
        <w:rPr>
          <w:sz w:val="24"/>
          <w:szCs w:val="24"/>
        </w:rPr>
      </w:pPr>
      <w:r w:rsidRPr="004A243D">
        <w:rPr>
          <w:sz w:val="24"/>
          <w:szCs w:val="24"/>
        </w:rPr>
        <w:t xml:space="preserve">Os gastos com custeio aumentaram percentualmente em relação aos grupos de despesas no exercício de 2014, no entanto </w:t>
      </w:r>
      <w:r>
        <w:rPr>
          <w:sz w:val="24"/>
          <w:szCs w:val="24"/>
        </w:rPr>
        <w:t>h</w:t>
      </w:r>
      <w:r w:rsidRPr="004A243D">
        <w:rPr>
          <w:sz w:val="24"/>
          <w:szCs w:val="24"/>
        </w:rPr>
        <w:t xml:space="preserve">ouve um decréscimo de </w:t>
      </w:r>
      <w:r>
        <w:rPr>
          <w:sz w:val="24"/>
          <w:szCs w:val="24"/>
        </w:rPr>
        <w:t>0,20% em relação ao ano de 2013. T</w:t>
      </w:r>
      <w:r w:rsidRPr="004A243D">
        <w:rPr>
          <w:sz w:val="24"/>
          <w:szCs w:val="24"/>
        </w:rPr>
        <w:t xml:space="preserve">al </w:t>
      </w:r>
      <w:r>
        <w:rPr>
          <w:sz w:val="24"/>
          <w:szCs w:val="24"/>
        </w:rPr>
        <w:t>fato</w:t>
      </w:r>
      <w:r w:rsidRPr="004A243D">
        <w:rPr>
          <w:sz w:val="24"/>
          <w:szCs w:val="24"/>
        </w:rPr>
        <w:t xml:space="preserve"> deu</w:t>
      </w:r>
      <w:r>
        <w:rPr>
          <w:sz w:val="24"/>
          <w:szCs w:val="24"/>
        </w:rPr>
        <w:t>-se</w:t>
      </w:r>
      <w:r w:rsidRPr="004A243D">
        <w:rPr>
          <w:sz w:val="24"/>
          <w:szCs w:val="24"/>
        </w:rPr>
        <w:t xml:space="preserve"> devido a não liberação de cota de empenho pelo </w:t>
      </w:r>
      <w:r>
        <w:rPr>
          <w:sz w:val="24"/>
          <w:szCs w:val="24"/>
        </w:rPr>
        <w:t>G</w:t>
      </w:r>
      <w:r w:rsidRPr="004A243D">
        <w:rPr>
          <w:sz w:val="24"/>
          <w:szCs w:val="24"/>
        </w:rPr>
        <w:t xml:space="preserve">overno </w:t>
      </w:r>
      <w:r>
        <w:rPr>
          <w:sz w:val="24"/>
          <w:szCs w:val="24"/>
        </w:rPr>
        <w:t>F</w:t>
      </w:r>
      <w:r w:rsidRPr="004A243D">
        <w:rPr>
          <w:sz w:val="24"/>
          <w:szCs w:val="24"/>
        </w:rPr>
        <w:t>ederal nos meses de novembro e dezembro de 2014.</w:t>
      </w:r>
    </w:p>
    <w:p w:rsidR="008F2B62" w:rsidRPr="004A243D" w:rsidRDefault="008F2B62" w:rsidP="008F2B62">
      <w:pPr>
        <w:spacing w:after="160" w:line="259" w:lineRule="auto"/>
        <w:ind w:firstLine="567"/>
        <w:jc w:val="both"/>
        <w:rPr>
          <w:sz w:val="24"/>
          <w:szCs w:val="24"/>
        </w:rPr>
      </w:pPr>
      <w:r w:rsidRPr="004A243D">
        <w:rPr>
          <w:sz w:val="24"/>
          <w:szCs w:val="24"/>
        </w:rPr>
        <w:t>Os gastos com investimento tiveram uma queda brusca na execução no exercício de 2014, os fatos que mais influenciaram nessa queda foram a paralização de duas obras da expansão III.</w:t>
      </w:r>
    </w:p>
    <w:p w:rsidR="00711269" w:rsidRDefault="00711269">
      <w:bookmarkStart w:id="23" w:name="_GoBack"/>
      <w:bookmarkEnd w:id="23"/>
    </w:p>
    <w:sectPr w:rsidR="00711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22FE0"/>
    <w:multiLevelType w:val="multilevel"/>
    <w:tmpl w:val="DFA41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7E"/>
    <w:rsid w:val="001A317E"/>
    <w:rsid w:val="004429DA"/>
    <w:rsid w:val="00596786"/>
    <w:rsid w:val="00711269"/>
    <w:rsid w:val="008F2B62"/>
    <w:rsid w:val="00920395"/>
    <w:rsid w:val="00D8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AE4E5-5F06-4587-A90D-F6D58F6E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17E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Ttulo2">
    <w:name w:val="heading 2"/>
    <w:basedOn w:val="Normal"/>
    <w:next w:val="Normal"/>
    <w:link w:val="Ttulo2Char"/>
    <w:unhideWhenUsed/>
    <w:qFormat/>
    <w:rsid w:val="008F2B6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317E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1A317E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F2B62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19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1649</Words>
  <Characters>8907</Characters>
  <Application>Microsoft Office Word</Application>
  <DocSecurity>0</DocSecurity>
  <Lines>74</Lines>
  <Paragraphs>21</Paragraphs>
  <ScaleCrop>false</ScaleCrop>
  <Company/>
  <LinksUpToDate>false</LinksUpToDate>
  <CharactersWithSpaces>10535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3</cp:revision>
  <dcterms:created xsi:type="dcterms:W3CDTF">2016-01-08T17:15:00Z</dcterms:created>
  <dcterms:modified xsi:type="dcterms:W3CDTF">2016-01-08T18:33:00Z</dcterms:modified>
</cp:coreProperties>
</file>