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64" w:type="dxa"/>
        <w:tblInd w:w="-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4"/>
        <w:gridCol w:w="4620"/>
        <w:gridCol w:w="1120"/>
        <w:gridCol w:w="1420"/>
      </w:tblGrid>
      <w:tr w:rsidR="0015515E" w:rsidRPr="005622C3" w:rsidTr="0015515E">
        <w:trPr>
          <w:trHeight w:val="315"/>
        </w:trPr>
        <w:tc>
          <w:tcPr>
            <w:tcW w:w="98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15515E" w:rsidRPr="005622C3" w:rsidRDefault="0015515E" w:rsidP="005F1C9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</w:pPr>
            <w:bookmarkStart w:id="0" w:name="_GoBack" w:colFirst="0" w:colLast="0"/>
            <w:r w:rsidRPr="005622C3"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  <w:t>DECLARAÇÃO DO CONTADOR</w:t>
            </w:r>
          </w:p>
        </w:tc>
      </w:tr>
      <w:tr w:rsidR="0015515E" w:rsidRPr="005622C3" w:rsidTr="0015515E">
        <w:trPr>
          <w:trHeight w:val="315"/>
        </w:trPr>
        <w:tc>
          <w:tcPr>
            <w:tcW w:w="84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15515E" w:rsidRPr="005622C3" w:rsidRDefault="0015515E" w:rsidP="005F1C9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  <w:t>Denominação completa (UPC</w:t>
            </w:r>
            <w:r w:rsidRPr="005622C3"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  <w:t>)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5515E" w:rsidRPr="005622C3" w:rsidRDefault="0015515E" w:rsidP="002436C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</w:pPr>
            <w:r w:rsidRPr="005622C3"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  <w:t xml:space="preserve">Código </w:t>
            </w:r>
            <w:r w:rsidR="002436C6"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  <w:t>da Gestão</w:t>
            </w:r>
          </w:p>
        </w:tc>
      </w:tr>
      <w:tr w:rsidR="0015515E" w:rsidRPr="005622C3" w:rsidTr="0015515E">
        <w:trPr>
          <w:trHeight w:val="315"/>
        </w:trPr>
        <w:tc>
          <w:tcPr>
            <w:tcW w:w="84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515E" w:rsidRPr="005622C3" w:rsidRDefault="0015515E" w:rsidP="005F1C9A">
            <w:pPr>
              <w:spacing w:after="0" w:line="240" w:lineRule="auto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5622C3">
              <w:rPr>
                <w:rFonts w:eastAsia="Times New Roman"/>
                <w:color w:val="000000"/>
                <w:szCs w:val="20"/>
                <w:lang w:eastAsia="pt-BR"/>
              </w:rPr>
              <w:t>INSTITUTO FEDERAL DE EDUCAÇÃO, CIÊNCIA E TECNOLOGIA DO AMAZONAS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515E" w:rsidRPr="005622C3" w:rsidRDefault="002436C6" w:rsidP="005F1C9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Cs w:val="20"/>
                <w:lang w:eastAsia="pt-BR"/>
              </w:rPr>
              <w:t>26403</w:t>
            </w:r>
          </w:p>
        </w:tc>
      </w:tr>
      <w:tr w:rsidR="0015515E" w:rsidRPr="005622C3" w:rsidTr="0015515E">
        <w:trPr>
          <w:trHeight w:val="1305"/>
        </w:trPr>
        <w:tc>
          <w:tcPr>
            <w:tcW w:w="986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515E" w:rsidRPr="005622C3" w:rsidRDefault="0015515E" w:rsidP="0015515E">
            <w:pPr>
              <w:spacing w:after="0" w:line="240" w:lineRule="auto"/>
              <w:ind w:left="72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5622C3">
              <w:rPr>
                <w:rFonts w:eastAsia="Times New Roman"/>
                <w:color w:val="000000"/>
                <w:szCs w:val="20"/>
                <w:lang w:eastAsia="pt-BR"/>
              </w:rPr>
              <w:br/>
              <w:t xml:space="preserve">          Declaro que os demonstrativos contábeis constantes do SIAFI (Balanços Orçamentário, Financeiro e Patrimonial e as Demonstrações das Variações Patrimoniais, do Fluxo de Caixa e do Resultado Econômico), regidos pela </w:t>
            </w:r>
            <w:r>
              <w:rPr>
                <w:rFonts w:eastAsia="Times New Roman"/>
                <w:color w:val="000000"/>
                <w:szCs w:val="20"/>
                <w:lang w:eastAsia="pt-BR"/>
              </w:rPr>
              <w:t>Lei</w:t>
            </w:r>
            <w:r w:rsidRPr="005622C3">
              <w:rPr>
                <w:rFonts w:eastAsia="Times New Roman"/>
                <w:color w:val="000000"/>
                <w:szCs w:val="20"/>
                <w:lang w:eastAsia="pt-BR"/>
              </w:rPr>
              <w:t xml:space="preserve"> n.º 4.320/1964, refletem adequadamente a situação orçamentária, financeira e patrimonial da unidade jurisdicionada que apresenta Relatório de Gestão, EXCETO no tocante a:</w:t>
            </w:r>
          </w:p>
        </w:tc>
      </w:tr>
      <w:tr w:rsidR="0015515E" w:rsidRPr="005622C3" w:rsidTr="0015515E">
        <w:trPr>
          <w:trHeight w:val="540"/>
        </w:trPr>
        <w:tc>
          <w:tcPr>
            <w:tcW w:w="9864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515E" w:rsidRPr="005622C3" w:rsidRDefault="0015515E" w:rsidP="005F1C9A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5622C3">
              <w:rPr>
                <w:rFonts w:eastAsia="Times New Roman"/>
                <w:color w:val="000000"/>
                <w:szCs w:val="20"/>
                <w:lang w:eastAsia="pt-BR"/>
              </w:rPr>
              <w:t xml:space="preserve">          a) </w:t>
            </w:r>
            <w:r>
              <w:rPr>
                <w:rFonts w:eastAsia="Times New Roman"/>
                <w:color w:val="000000"/>
                <w:szCs w:val="20"/>
                <w:lang w:eastAsia="pt-BR"/>
              </w:rPr>
              <w:t xml:space="preserve"> </w:t>
            </w:r>
            <w:r w:rsidRPr="005622C3">
              <w:rPr>
                <w:rFonts w:eastAsia="Times New Roman"/>
                <w:color w:val="000000"/>
                <w:szCs w:val="20"/>
                <w:lang w:eastAsia="pt-BR"/>
              </w:rPr>
              <w:t>Patrimônio, pois os valores do imobilizado não correspondem ao valor real, pela ausência de reavaliação patrimonial, e falta do registro da depreciação dos bens.</w:t>
            </w:r>
          </w:p>
        </w:tc>
      </w:tr>
      <w:tr w:rsidR="0015515E" w:rsidRPr="005622C3" w:rsidTr="0015515E">
        <w:trPr>
          <w:trHeight w:val="510"/>
        </w:trPr>
        <w:tc>
          <w:tcPr>
            <w:tcW w:w="9864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515E" w:rsidRDefault="0015515E" w:rsidP="005F1C9A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Cs w:val="20"/>
                <w:lang w:eastAsia="pt-BR"/>
              </w:rPr>
              <w:t xml:space="preserve">          b) </w:t>
            </w:r>
            <w:r w:rsidRPr="005622C3">
              <w:rPr>
                <w:rFonts w:eastAsia="Times New Roman"/>
                <w:color w:val="000000"/>
                <w:szCs w:val="20"/>
                <w:lang w:eastAsia="pt-BR"/>
              </w:rPr>
              <w:t xml:space="preserve">Almoxarifado, os almoxarifados da instituição possuem controles ineficientes, não sendo </w:t>
            </w:r>
            <w:r w:rsidRPr="005622C3">
              <w:rPr>
                <w:rFonts w:eastAsia="Times New Roman"/>
                <w:color w:val="000000"/>
                <w:szCs w:val="20"/>
                <w:lang w:eastAsia="pt-BR"/>
              </w:rPr>
              <w:br/>
              <w:t>informado mensalmente as saídas de mercadorias.</w:t>
            </w:r>
          </w:p>
          <w:p w:rsidR="0015515E" w:rsidRDefault="0015515E" w:rsidP="0015515E">
            <w:pPr>
              <w:spacing w:after="0" w:line="240" w:lineRule="auto"/>
              <w:ind w:firstLine="497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Cs w:val="20"/>
                <w:lang w:eastAsia="pt-BR"/>
              </w:rPr>
              <w:t xml:space="preserve">c)   Há inconsistências apuradas em </w:t>
            </w:r>
            <w:r w:rsidR="001D65A6">
              <w:rPr>
                <w:rFonts w:eastAsia="Times New Roman"/>
                <w:color w:val="000000"/>
                <w:szCs w:val="20"/>
                <w:lang w:eastAsia="pt-BR"/>
              </w:rPr>
              <w:t xml:space="preserve">algumas </w:t>
            </w:r>
            <w:r>
              <w:rPr>
                <w:rFonts w:eastAsia="Times New Roman"/>
                <w:color w:val="000000"/>
                <w:szCs w:val="20"/>
                <w:lang w:eastAsia="pt-BR"/>
              </w:rPr>
              <w:t>contas de controle</w:t>
            </w:r>
            <w:r w:rsidR="00484D01">
              <w:rPr>
                <w:rFonts w:eastAsia="Times New Roman"/>
                <w:color w:val="000000"/>
                <w:szCs w:val="20"/>
                <w:lang w:eastAsia="pt-BR"/>
              </w:rPr>
              <w:t xml:space="preserve"> orçamentário e financeiro</w:t>
            </w:r>
            <w:r>
              <w:rPr>
                <w:rFonts w:eastAsia="Times New Roman"/>
                <w:color w:val="000000"/>
                <w:szCs w:val="20"/>
                <w:lang w:eastAsia="pt-BR"/>
              </w:rPr>
              <w:t>, ocasionadas por lançamentos indevidos</w:t>
            </w:r>
            <w:r w:rsidR="00484D01">
              <w:rPr>
                <w:rFonts w:eastAsia="Times New Roman"/>
                <w:color w:val="000000"/>
                <w:szCs w:val="20"/>
                <w:lang w:eastAsia="pt-BR"/>
              </w:rPr>
              <w:t xml:space="preserve"> registrados</w:t>
            </w:r>
            <w:r>
              <w:rPr>
                <w:rFonts w:eastAsia="Times New Roman"/>
                <w:color w:val="000000"/>
                <w:szCs w:val="20"/>
                <w:lang w:eastAsia="pt-BR"/>
              </w:rPr>
              <w:t xml:space="preserve"> em exercícios anteriores, que estão em fase de regularização em conjunto com a setorial contábil do MEC.</w:t>
            </w:r>
          </w:p>
          <w:p w:rsidR="0015515E" w:rsidRPr="005622C3" w:rsidRDefault="0015515E" w:rsidP="00484D01">
            <w:pPr>
              <w:spacing w:after="0" w:line="240" w:lineRule="auto"/>
              <w:ind w:firstLine="497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Cs w:val="20"/>
                <w:lang w:eastAsia="pt-BR"/>
              </w:rPr>
              <w:t xml:space="preserve">d) </w:t>
            </w:r>
            <w:r w:rsidR="002436C6">
              <w:rPr>
                <w:rFonts w:eastAsia="Times New Roman"/>
                <w:color w:val="000000"/>
                <w:szCs w:val="20"/>
                <w:lang w:eastAsia="pt-BR"/>
              </w:rPr>
              <w:t xml:space="preserve">  Restrições Contábeis, referentes ao não recolhimento de tributos dentro do período de competência, bem como ausência de pagamento de tributos retidos. Esse tem sido um grande problema</w:t>
            </w:r>
            <w:r w:rsidR="00A21DFF">
              <w:rPr>
                <w:rFonts w:eastAsia="Times New Roman"/>
                <w:color w:val="000000"/>
                <w:szCs w:val="20"/>
                <w:lang w:eastAsia="pt-BR"/>
              </w:rPr>
              <w:t xml:space="preserve"> dentro do órgão, apurado </w:t>
            </w:r>
            <w:r w:rsidR="00484D01">
              <w:rPr>
                <w:rFonts w:eastAsia="Times New Roman"/>
                <w:color w:val="000000"/>
                <w:szCs w:val="20"/>
                <w:lang w:eastAsia="pt-BR"/>
              </w:rPr>
              <w:t xml:space="preserve">em 80% das </w:t>
            </w:r>
            <w:r w:rsidR="00A21DFF">
              <w:rPr>
                <w:rFonts w:eastAsia="Times New Roman"/>
                <w:color w:val="000000"/>
                <w:szCs w:val="20"/>
                <w:lang w:eastAsia="pt-BR"/>
              </w:rPr>
              <w:t xml:space="preserve">unidades gestoras. </w:t>
            </w:r>
          </w:p>
        </w:tc>
      </w:tr>
      <w:tr w:rsidR="0015515E" w:rsidRPr="005622C3" w:rsidTr="0015515E">
        <w:trPr>
          <w:trHeight w:val="1035"/>
        </w:trPr>
        <w:tc>
          <w:tcPr>
            <w:tcW w:w="9864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515E" w:rsidRPr="005622C3" w:rsidRDefault="0015515E" w:rsidP="0015515E">
            <w:pPr>
              <w:spacing w:after="0" w:line="240" w:lineRule="auto"/>
              <w:rPr>
                <w:rFonts w:eastAsia="Times New Roman"/>
                <w:color w:val="000000"/>
                <w:szCs w:val="20"/>
                <w:lang w:eastAsia="pt-BR"/>
              </w:rPr>
            </w:pPr>
          </w:p>
        </w:tc>
      </w:tr>
      <w:tr w:rsidR="0015515E" w:rsidRPr="005622C3" w:rsidTr="0015515E">
        <w:trPr>
          <w:trHeight w:val="300"/>
        </w:trPr>
        <w:tc>
          <w:tcPr>
            <w:tcW w:w="27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15E" w:rsidRPr="005622C3" w:rsidRDefault="0015515E" w:rsidP="005F1C9A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5622C3">
              <w:rPr>
                <w:rFonts w:eastAsia="Times New Roman"/>
                <w:color w:val="000000"/>
                <w:szCs w:val="20"/>
                <w:lang w:eastAsia="pt-BR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15E" w:rsidRPr="005622C3" w:rsidRDefault="0015515E" w:rsidP="005F1C9A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15E" w:rsidRPr="005622C3" w:rsidRDefault="0015515E" w:rsidP="005F1C9A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15E" w:rsidRPr="005622C3" w:rsidRDefault="0015515E" w:rsidP="005F1C9A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5622C3">
              <w:rPr>
                <w:rFonts w:eastAsia="Times New Roman"/>
                <w:color w:val="000000"/>
                <w:szCs w:val="20"/>
                <w:lang w:eastAsia="pt-BR"/>
              </w:rPr>
              <w:t> </w:t>
            </w:r>
          </w:p>
        </w:tc>
      </w:tr>
      <w:tr w:rsidR="0015515E" w:rsidRPr="005622C3" w:rsidTr="0015515E">
        <w:trPr>
          <w:trHeight w:val="315"/>
        </w:trPr>
        <w:tc>
          <w:tcPr>
            <w:tcW w:w="9864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515E" w:rsidRPr="005622C3" w:rsidRDefault="0015515E" w:rsidP="005F1C9A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5622C3">
              <w:rPr>
                <w:rFonts w:eastAsia="Times New Roman"/>
                <w:color w:val="000000"/>
                <w:szCs w:val="20"/>
                <w:lang w:eastAsia="pt-BR"/>
              </w:rPr>
              <w:br/>
              <w:t xml:space="preserve">          Estou ciente das responsabilidades civis e profissionais desta declaração.</w:t>
            </w:r>
          </w:p>
        </w:tc>
      </w:tr>
      <w:tr w:rsidR="0015515E" w:rsidRPr="005622C3" w:rsidTr="0015515E">
        <w:trPr>
          <w:trHeight w:val="315"/>
        </w:trPr>
        <w:tc>
          <w:tcPr>
            <w:tcW w:w="2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5515E" w:rsidRPr="005622C3" w:rsidRDefault="0015515E" w:rsidP="005F1C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</w:pPr>
            <w:r w:rsidRPr="005622C3"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  <w:t>Local</w:t>
            </w:r>
          </w:p>
        </w:tc>
        <w:tc>
          <w:tcPr>
            <w:tcW w:w="4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15E" w:rsidRPr="005622C3" w:rsidRDefault="0015515E" w:rsidP="005F1C9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</w:pPr>
            <w:r w:rsidRPr="005622C3"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  <w:t>Manaus, AM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5515E" w:rsidRPr="005622C3" w:rsidRDefault="0015515E" w:rsidP="005F1C9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</w:pPr>
            <w:r w:rsidRPr="005622C3"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  <w:t>Data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15E" w:rsidRPr="005622C3" w:rsidRDefault="00A21DFF" w:rsidP="005F1C9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  <w:t>24/02/2016</w:t>
            </w:r>
          </w:p>
        </w:tc>
      </w:tr>
      <w:tr w:rsidR="0015515E" w:rsidRPr="005622C3" w:rsidTr="0015515E">
        <w:trPr>
          <w:trHeight w:val="315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5515E" w:rsidRPr="005622C3" w:rsidRDefault="0015515E" w:rsidP="005F1C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</w:pPr>
            <w:r w:rsidRPr="005622C3"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  <w:t>Contador Responsável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15E" w:rsidRPr="005622C3" w:rsidRDefault="0015515E" w:rsidP="005F1C9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</w:pPr>
            <w:r w:rsidRPr="005622C3"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  <w:t>Deise Souza da Silva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5515E" w:rsidRPr="005622C3" w:rsidRDefault="0015515E" w:rsidP="005F1C9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</w:pPr>
            <w:r w:rsidRPr="005622C3"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  <w:t>CRC nº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15E" w:rsidRPr="005622C3" w:rsidRDefault="0015515E" w:rsidP="005F1C9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</w:pPr>
            <w:r w:rsidRPr="005622C3"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  <w:t>013225-O5</w:t>
            </w:r>
          </w:p>
        </w:tc>
      </w:tr>
      <w:bookmarkEnd w:id="0"/>
    </w:tbl>
    <w:p w:rsidR="001A6070" w:rsidRDefault="001A6070"/>
    <w:sectPr w:rsidR="001A60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15E"/>
    <w:rsid w:val="0015515E"/>
    <w:rsid w:val="001A6070"/>
    <w:rsid w:val="001D65A6"/>
    <w:rsid w:val="002436C6"/>
    <w:rsid w:val="002B14D3"/>
    <w:rsid w:val="00484D01"/>
    <w:rsid w:val="008C36CD"/>
    <w:rsid w:val="00A21DFF"/>
    <w:rsid w:val="00DC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15E"/>
    <w:pPr>
      <w:spacing w:after="200" w:line="276" w:lineRule="auto"/>
    </w:pPr>
    <w:rPr>
      <w:rFonts w:ascii="Times New Roman" w:eastAsia="Calibri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15E"/>
    <w:pPr>
      <w:spacing w:after="200" w:line="276" w:lineRule="auto"/>
    </w:pPr>
    <w:rPr>
      <w:rFonts w:ascii="Times New Roman" w:eastAsia="Calibri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Deise Souza da Silva</dc:creator>
  <cp:lastModifiedBy>Gean Max Angelim de Lima</cp:lastModifiedBy>
  <cp:revision>2</cp:revision>
  <dcterms:created xsi:type="dcterms:W3CDTF">2016-02-26T20:22:00Z</dcterms:created>
  <dcterms:modified xsi:type="dcterms:W3CDTF">2016-02-26T20:22:00Z</dcterms:modified>
</cp:coreProperties>
</file>