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ED" w:rsidRDefault="004D6DED" w:rsidP="004D6DED">
      <w:pPr>
        <w:pStyle w:val="Ttulo4"/>
        <w:numPr>
          <w:ilvl w:val="0"/>
          <w:numId w:val="0"/>
        </w:numPr>
      </w:pPr>
      <w:bookmarkStart w:id="0" w:name="_Toc440553015"/>
      <w:r w:rsidRPr="0013741D">
        <w:t xml:space="preserve">Execução Descentralizada </w:t>
      </w:r>
      <w:r>
        <w:t>c</w:t>
      </w:r>
      <w:r w:rsidRPr="0013741D">
        <w:t xml:space="preserve">om Transferência </w:t>
      </w:r>
      <w:r>
        <w:t>d</w:t>
      </w:r>
      <w:r w:rsidRPr="0013741D">
        <w:t>e Recursos</w:t>
      </w:r>
      <w:bookmarkEnd w:id="0"/>
    </w:p>
    <w:p w:rsidR="004D6DED" w:rsidRDefault="004D6DED" w:rsidP="004D6DED">
      <w:pPr>
        <w:spacing w:before="120" w:after="120"/>
      </w:pPr>
    </w:p>
    <w:p w:rsidR="004D6DED" w:rsidRPr="00077097" w:rsidRDefault="004D6DED" w:rsidP="004D6DED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" w:name="_Toc440553016"/>
      <w:r w:rsidRPr="00077097">
        <w:rPr>
          <w:caps w:val="0"/>
        </w:rPr>
        <w:t>Quadro – Resumo dos instrumentos celebrados e dos montantes transferidos nos últimos três exercícios</w:t>
      </w:r>
      <w:bookmarkEnd w:id="1"/>
    </w:p>
    <w:tbl>
      <w:tblPr>
        <w:tblW w:w="98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159"/>
        <w:gridCol w:w="1121"/>
        <w:gridCol w:w="1122"/>
        <w:gridCol w:w="1523"/>
        <w:gridCol w:w="1524"/>
        <w:gridCol w:w="1524"/>
      </w:tblGrid>
      <w:tr w:rsidR="004D6DED" w:rsidRPr="00236F54" w:rsidTr="00FC4231">
        <w:trPr>
          <w:trHeight w:val="2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Unidade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236F54">
              <w:rPr>
                <w:bCs/>
                <w:color w:val="000000"/>
                <w:sz w:val="20"/>
                <w:szCs w:val="20"/>
              </w:rPr>
              <w:t xml:space="preserve">oncedente ou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236F54">
              <w:rPr>
                <w:bCs/>
                <w:color w:val="000000"/>
                <w:sz w:val="20"/>
                <w:szCs w:val="20"/>
              </w:rPr>
              <w:t>ontratante</w:t>
            </w:r>
          </w:p>
        </w:tc>
      </w:tr>
      <w:tr w:rsidR="004D6DED" w:rsidRPr="00236F54" w:rsidTr="00FC4231">
        <w:trPr>
          <w:trHeight w:val="28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236F54" w:rsidRDefault="00C5173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Instituto Federal de Educação, Ciência e Tecnologia do Amazonas - IFAM</w:t>
            </w:r>
          </w:p>
        </w:tc>
      </w:tr>
      <w:tr w:rsidR="004D6DED" w:rsidRPr="00236F54" w:rsidTr="00FC4231">
        <w:trPr>
          <w:trHeight w:val="5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236F54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UG/GESTÃO: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236F54" w:rsidRDefault="00C5173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15842/26403</w:t>
            </w: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Quantidade de instrumentos celebrados 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Montantes repassados no exercício (em R$ 1,00)</w:t>
            </w: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18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236F54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Convênio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C5173D" w:rsidP="00C5173D">
            <w:pPr>
              <w:jc w:val="center"/>
              <w:rPr>
                <w:color w:val="000000"/>
                <w:sz w:val="20"/>
                <w:szCs w:val="20"/>
              </w:rPr>
            </w:pPr>
            <w:r w:rsidRPr="00C0380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981EC7" w:rsidP="00C5173D">
            <w:pPr>
              <w:jc w:val="center"/>
              <w:rPr>
                <w:color w:val="000000"/>
                <w:sz w:val="20"/>
                <w:szCs w:val="20"/>
              </w:rPr>
            </w:pPr>
            <w:r w:rsidRPr="00981EC7">
              <w:rPr>
                <w:sz w:val="20"/>
                <w:szCs w:val="20"/>
              </w:rPr>
              <w:t>1.160.946,92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6DED" w:rsidRPr="00236F54" w:rsidTr="00F424C6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Contrato de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236F54">
              <w:rPr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CE7520" w:rsidP="00FC42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4D6DED" w:rsidP="00C5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F424C6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C03801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0" w:rsidRPr="00C03801" w:rsidRDefault="00CE7520" w:rsidP="00CE7520">
            <w:pPr>
              <w:jc w:val="center"/>
              <w:rPr>
                <w:color w:val="000000"/>
                <w:sz w:val="20"/>
                <w:szCs w:val="20"/>
              </w:rPr>
            </w:pPr>
            <w:r w:rsidRPr="00C03801">
              <w:rPr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8541B7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B1CBD" w:rsidRPr="00C03801">
              <w:rPr>
                <w:color w:val="000000"/>
                <w:sz w:val="20"/>
                <w:szCs w:val="20"/>
              </w:rPr>
              <w:t>58.951,55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C03801" w:rsidP="00C5173D">
            <w:pPr>
              <w:jc w:val="center"/>
              <w:rPr>
                <w:color w:val="000000"/>
                <w:sz w:val="20"/>
                <w:szCs w:val="20"/>
              </w:rPr>
            </w:pPr>
            <w:r w:rsidRPr="00C03801">
              <w:rPr>
                <w:color w:val="000000"/>
                <w:sz w:val="20"/>
                <w:szCs w:val="20"/>
              </w:rPr>
              <w:t>30.000,00</w:t>
            </w: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D6DED" w:rsidRPr="00236F54" w:rsidRDefault="004D6DED" w:rsidP="00FC42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E717D1" w:rsidP="00C5173D">
            <w:pPr>
              <w:jc w:val="center"/>
              <w:rPr>
                <w:color w:val="000000"/>
                <w:sz w:val="20"/>
                <w:szCs w:val="20"/>
              </w:rPr>
            </w:pPr>
            <w:r w:rsidRPr="00C0380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A92188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F424C6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981EC7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2.060.946,92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8541B7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424C6">
              <w:rPr>
                <w:color w:val="000000"/>
                <w:sz w:val="20"/>
                <w:szCs w:val="20"/>
              </w:rPr>
              <w:t>58.951,55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C03801" w:rsidRDefault="00F424C6" w:rsidP="00C517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</w:tr>
      <w:tr w:rsidR="004D6DED" w:rsidRPr="00236F54" w:rsidTr="00FC4231">
        <w:trPr>
          <w:trHeight w:val="2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6DED" w:rsidRPr="00236F54" w:rsidRDefault="004D6DED" w:rsidP="00FC4231">
            <w:pPr>
              <w:tabs>
                <w:tab w:val="left" w:pos="3119"/>
                <w:tab w:val="left" w:pos="8505"/>
              </w:tabs>
              <w:jc w:val="both"/>
              <w:rPr>
                <w:kern w:val="32"/>
                <w:sz w:val="20"/>
                <w:szCs w:val="20"/>
              </w:rPr>
            </w:pPr>
            <w:r w:rsidRPr="00236F54">
              <w:rPr>
                <w:kern w:val="32"/>
                <w:sz w:val="20"/>
                <w:szCs w:val="20"/>
              </w:rPr>
              <w:t>Fonte:</w:t>
            </w:r>
          </w:p>
        </w:tc>
      </w:tr>
    </w:tbl>
    <w:p w:rsidR="00F424C6" w:rsidRDefault="00F424C6" w:rsidP="00F424C6">
      <w:pPr>
        <w:spacing w:before="120" w:after="120"/>
      </w:pPr>
    </w:p>
    <w:p w:rsidR="006910F0" w:rsidRDefault="006910F0" w:rsidP="006910F0">
      <w:pPr>
        <w:spacing w:before="120" w:after="120"/>
      </w:pPr>
    </w:p>
    <w:p w:rsidR="006910F0" w:rsidRDefault="006910F0" w:rsidP="006910F0">
      <w:pPr>
        <w:spacing w:before="120" w:after="120"/>
      </w:pPr>
    </w:p>
    <w:p w:rsidR="004D6DED" w:rsidRDefault="006910F0" w:rsidP="006910F0">
      <w:pPr>
        <w:spacing w:before="120" w:after="120"/>
      </w:pPr>
      <w:r>
        <w:t xml:space="preserve"> </w:t>
      </w:r>
    </w:p>
    <w:p w:rsidR="00505F4C" w:rsidRDefault="00505F4C">
      <w:pPr>
        <w:autoSpaceDE/>
        <w:autoSpaceDN/>
        <w:adjustRightInd/>
        <w:spacing w:before="0" w:after="160" w:line="259" w:lineRule="auto"/>
        <w:rPr>
          <w:b/>
        </w:rPr>
      </w:pPr>
      <w:bookmarkStart w:id="2" w:name="_Toc440553017"/>
      <w:r>
        <w:rPr>
          <w:caps/>
        </w:rPr>
        <w:br w:type="page"/>
      </w:r>
    </w:p>
    <w:p w:rsidR="004D6DED" w:rsidRPr="00077097" w:rsidRDefault="004D6DED" w:rsidP="004D6DED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 w:rsidRPr="00077097">
        <w:rPr>
          <w:caps w:val="0"/>
        </w:rPr>
        <w:lastRenderedPageBreak/>
        <w:t>Quadro – Resumo da prestação de contas sobre transferências concedidas pela UJ na modalidade de convênio, termo de cooperação e de contratos de repasse.</w:t>
      </w:r>
      <w:bookmarkEnd w:id="2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560"/>
        <w:gridCol w:w="2126"/>
        <w:gridCol w:w="1701"/>
        <w:gridCol w:w="1621"/>
        <w:gridCol w:w="1621"/>
      </w:tblGrid>
      <w:tr w:rsidR="004D6DED" w:rsidRPr="0019225E" w:rsidTr="00FC4231">
        <w:trPr>
          <w:trHeight w:val="577"/>
          <w:jc w:val="center"/>
        </w:trPr>
        <w:tc>
          <w:tcPr>
            <w:tcW w:w="9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6DED" w:rsidRPr="0019225E" w:rsidRDefault="004D6DED" w:rsidP="00FC4231">
            <w:pPr>
              <w:jc w:val="right"/>
              <w:rPr>
                <w:sz w:val="20"/>
                <w:szCs w:val="20"/>
              </w:rPr>
            </w:pPr>
            <w:r w:rsidRPr="0019225E">
              <w:rPr>
                <w:sz w:val="20"/>
                <w:szCs w:val="20"/>
              </w:rPr>
              <w:t>Valores em R$ 1,00</w:t>
            </w:r>
          </w:p>
        </w:tc>
      </w:tr>
      <w:tr w:rsidR="004D6DED" w:rsidRPr="0019225E" w:rsidTr="00FC4231">
        <w:trPr>
          <w:trHeight w:val="223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Unidade Concedente</w:t>
            </w:r>
          </w:p>
        </w:tc>
      </w:tr>
      <w:tr w:rsidR="004D6DED" w:rsidRPr="0019225E" w:rsidTr="00FC4231">
        <w:trPr>
          <w:trHeight w:val="233"/>
          <w:jc w:val="center"/>
        </w:trPr>
        <w:tc>
          <w:tcPr>
            <w:tcW w:w="9748" w:type="dxa"/>
            <w:gridSpan w:val="6"/>
            <w:shd w:val="clear" w:color="auto" w:fill="auto"/>
            <w:noWrap/>
            <w:hideMark/>
          </w:tcPr>
          <w:p w:rsidR="004D6DED" w:rsidRPr="0019225E" w:rsidRDefault="004D6DED" w:rsidP="00C5173D">
            <w:pPr>
              <w:tabs>
                <w:tab w:val="left" w:pos="1095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Nome:</w:t>
            </w:r>
            <w:r w:rsidR="00C5173D">
              <w:rPr>
                <w:bCs/>
                <w:color w:val="000000"/>
                <w:sz w:val="20"/>
                <w:szCs w:val="20"/>
              </w:rPr>
              <w:t xml:space="preserve"> Instituto Federal de Educação, Ciência e Tecnologia - IFAM</w:t>
            </w:r>
          </w:p>
        </w:tc>
      </w:tr>
      <w:tr w:rsidR="004D6DED" w:rsidRPr="0019225E" w:rsidTr="00FC4231">
        <w:trPr>
          <w:trHeight w:val="223"/>
          <w:jc w:val="center"/>
        </w:trPr>
        <w:tc>
          <w:tcPr>
            <w:tcW w:w="9748" w:type="dxa"/>
            <w:gridSpan w:val="6"/>
            <w:shd w:val="clear" w:color="auto" w:fill="auto"/>
            <w:noWrap/>
            <w:hideMark/>
          </w:tcPr>
          <w:p w:rsidR="004D6DED" w:rsidRPr="0019225E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UG/GESTÃO:</w:t>
            </w:r>
            <w:r w:rsidR="00C5173D">
              <w:rPr>
                <w:bCs/>
                <w:color w:val="000000"/>
                <w:sz w:val="20"/>
                <w:szCs w:val="20"/>
              </w:rPr>
              <w:t xml:space="preserve"> 158142/26403</w:t>
            </w:r>
          </w:p>
        </w:tc>
      </w:tr>
      <w:tr w:rsidR="004D6DED" w:rsidRPr="0019225E" w:rsidTr="00FC4231">
        <w:trPr>
          <w:trHeight w:val="456"/>
          <w:jc w:val="center"/>
        </w:trPr>
        <w:tc>
          <w:tcPr>
            <w:tcW w:w="1119" w:type="dxa"/>
            <w:vMerge w:val="restart"/>
            <w:shd w:val="clear" w:color="auto" w:fill="D9D9D9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 xml:space="preserve">Quantitativos e </w:t>
            </w:r>
            <w:r>
              <w:rPr>
                <w:bCs/>
                <w:color w:val="000000"/>
                <w:sz w:val="20"/>
                <w:szCs w:val="20"/>
              </w:rPr>
              <w:t>m</w:t>
            </w:r>
            <w:r w:rsidRPr="0019225E">
              <w:rPr>
                <w:bCs/>
                <w:color w:val="000000"/>
                <w:sz w:val="20"/>
                <w:szCs w:val="20"/>
              </w:rPr>
              <w:t>ontante</w:t>
            </w:r>
            <w:r>
              <w:rPr>
                <w:bCs/>
                <w:color w:val="000000"/>
                <w:sz w:val="20"/>
                <w:szCs w:val="20"/>
              </w:rPr>
              <w:t xml:space="preserve"> r</w:t>
            </w:r>
            <w:r w:rsidRPr="0019225E">
              <w:rPr>
                <w:bCs/>
                <w:color w:val="000000"/>
                <w:sz w:val="20"/>
                <w:szCs w:val="20"/>
              </w:rPr>
              <w:t>epassados</w:t>
            </w:r>
          </w:p>
        </w:tc>
        <w:tc>
          <w:tcPr>
            <w:tcW w:w="4943" w:type="dxa"/>
            <w:gridSpan w:val="3"/>
            <w:shd w:val="clear" w:color="auto" w:fill="D9D9D9"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Instrumentos</w:t>
            </w:r>
          </w:p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(Quantidade e Montante Repassado)</w:t>
            </w:r>
          </w:p>
        </w:tc>
      </w:tr>
      <w:tr w:rsidR="004D6DED" w:rsidRPr="0019225E" w:rsidTr="00FC4231">
        <w:trPr>
          <w:trHeight w:val="143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 xml:space="preserve">Contratos de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19225E">
              <w:rPr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6DED" w:rsidRPr="0019225E" w:rsidRDefault="0001065F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TED</w:t>
            </w:r>
          </w:p>
        </w:tc>
      </w:tr>
      <w:tr w:rsidR="004D6DED" w:rsidRPr="0019225E" w:rsidTr="00FC4231">
        <w:trPr>
          <w:trHeight w:val="14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Exercício do relatório de gestão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Prestadas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DED" w:rsidRPr="0019225E" w:rsidTr="00FC4231">
        <w:trPr>
          <w:trHeight w:val="143"/>
          <w:jc w:val="center"/>
        </w:trPr>
        <w:tc>
          <w:tcPr>
            <w:tcW w:w="1119" w:type="dxa"/>
            <w:vMerge/>
            <w:shd w:val="clear" w:color="auto" w:fill="D9D9D9"/>
            <w:noWrap/>
            <w:vAlign w:val="bottom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DED" w:rsidRPr="0019225E" w:rsidTr="00FC4231">
        <w:trPr>
          <w:trHeight w:val="143"/>
          <w:jc w:val="center"/>
        </w:trPr>
        <w:tc>
          <w:tcPr>
            <w:tcW w:w="1119" w:type="dxa"/>
            <w:vMerge/>
            <w:shd w:val="clear" w:color="auto" w:fill="D9D9D9"/>
            <w:noWrap/>
            <w:vAlign w:val="bottom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NÃO Prestadas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DED" w:rsidRPr="0019225E" w:rsidTr="00FC4231">
        <w:trPr>
          <w:trHeight w:val="143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DED" w:rsidRPr="0019225E" w:rsidTr="00FC4231">
        <w:trPr>
          <w:trHeight w:val="22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Exercícios a</w:t>
            </w:r>
            <w:r w:rsidRPr="0019225E">
              <w:rPr>
                <w:bCs/>
                <w:color w:val="000000"/>
                <w:sz w:val="20"/>
                <w:szCs w:val="20"/>
              </w:rPr>
              <w:t>nteriores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NÃO Prestadas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19225E" w:rsidRDefault="00A92188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D6DED" w:rsidRPr="0019225E" w:rsidTr="00FC4231">
        <w:trPr>
          <w:trHeight w:val="19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DED" w:rsidRPr="0019225E" w:rsidRDefault="004D6DED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ED" w:rsidRPr="0019225E" w:rsidRDefault="00A92188" w:rsidP="00FC42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569.268,55</w:t>
            </w:r>
          </w:p>
        </w:tc>
      </w:tr>
      <w:tr w:rsidR="004D6DED" w:rsidRPr="0019225E" w:rsidTr="00FC4231">
        <w:trPr>
          <w:trHeight w:val="233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4D6DED" w:rsidRPr="0019225E" w:rsidRDefault="004D6DED" w:rsidP="00FC42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4D6DED" w:rsidRDefault="004D6DED" w:rsidP="004D6DED">
      <w:pPr>
        <w:spacing w:before="120" w:after="120"/>
      </w:pPr>
    </w:p>
    <w:p w:rsidR="004D6DED" w:rsidRDefault="004D6DED" w:rsidP="004D6DED">
      <w:pPr>
        <w:autoSpaceDE/>
        <w:autoSpaceDN/>
        <w:adjustRightInd/>
      </w:pPr>
      <w:r>
        <w:br w:type="page"/>
      </w:r>
    </w:p>
    <w:p w:rsidR="004D6DED" w:rsidRDefault="004D6DED" w:rsidP="004D6DED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3" w:name="_Toc440553018"/>
      <w:r w:rsidRPr="00077097">
        <w:rPr>
          <w:caps w:val="0"/>
        </w:rPr>
        <w:lastRenderedPageBreak/>
        <w:t>Quadro – Situação da análise das contas prestadas no exercício de referência do relatório de gestão</w:t>
      </w:r>
      <w:bookmarkEnd w:id="3"/>
      <w:r w:rsidRPr="00077097">
        <w:rPr>
          <w:caps w:val="0"/>
        </w:rPr>
        <w:t xml:space="preserve"> 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2347"/>
        <w:gridCol w:w="1482"/>
        <w:gridCol w:w="1235"/>
        <w:gridCol w:w="247"/>
        <w:gridCol w:w="1482"/>
      </w:tblGrid>
      <w:tr w:rsidR="004D6DED" w:rsidRPr="000E1250" w:rsidTr="00FC4231">
        <w:trPr>
          <w:trHeight w:val="387"/>
          <w:jc w:val="center"/>
        </w:trPr>
        <w:tc>
          <w:tcPr>
            <w:tcW w:w="39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6DED" w:rsidRPr="00077097" w:rsidRDefault="004D6DED" w:rsidP="00FC4231"/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DED" w:rsidRPr="000E1250" w:rsidRDefault="004D6DED" w:rsidP="00FC4231">
            <w:pPr>
              <w:jc w:val="center"/>
              <w:rPr>
                <w:sz w:val="20"/>
                <w:szCs w:val="20"/>
              </w:rPr>
            </w:pPr>
            <w:r w:rsidRPr="000E1250">
              <w:rPr>
                <w:sz w:val="20"/>
                <w:szCs w:val="20"/>
              </w:rPr>
              <w:t>Valores em R$ 1,00</w:t>
            </w: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  <w:r w:rsidR="00C5173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Instituto Federal de Educação, Ciência e Tecnologia do Amazonas – IFAM</w:t>
            </w: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  <w:r w:rsidR="00C5173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158142/26403</w:t>
            </w:r>
          </w:p>
        </w:tc>
      </w:tr>
      <w:tr w:rsidR="004D6DED" w:rsidRPr="000E1250" w:rsidTr="00FC4231">
        <w:tblPrEx>
          <w:jc w:val="left"/>
        </w:tblPrEx>
        <w:trPr>
          <w:trHeight w:val="215"/>
        </w:trPr>
        <w:tc>
          <w:tcPr>
            <w:tcW w:w="2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Contas apresentadas ao repassador no exercício de referência do relatório de gestão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4D6DED" w:rsidRPr="000E1250" w:rsidTr="00FC4231">
        <w:tblPrEx>
          <w:jc w:val="left"/>
        </w:tblPrEx>
        <w:trPr>
          <w:trHeight w:val="574"/>
        </w:trPr>
        <w:tc>
          <w:tcPr>
            <w:tcW w:w="2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Contratos de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...</w:t>
            </w:r>
          </w:p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Contas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nalisadas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provada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eprovada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6DED" w:rsidRPr="000E1250" w:rsidRDefault="00981EC7" w:rsidP="00981E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5BF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297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instauradas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56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Montante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epassado (R$)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6DED" w:rsidRPr="000E1250" w:rsidRDefault="00981EC7" w:rsidP="00981E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539.268,55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Contas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NÃO 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nalisadas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Montante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epassado (R$)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DED" w:rsidRPr="000E1250" w:rsidRDefault="004D6DED" w:rsidP="00981EC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D6DED" w:rsidRPr="000E1250" w:rsidTr="00FC4231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4D6DED" w:rsidRDefault="004D6DED" w:rsidP="004D6DED">
      <w:pPr>
        <w:spacing w:before="120" w:after="120"/>
      </w:pPr>
    </w:p>
    <w:p w:rsidR="004D6DED" w:rsidRDefault="004D6DED" w:rsidP="004D6DED">
      <w:pPr>
        <w:autoSpaceDE/>
        <w:autoSpaceDN/>
        <w:adjustRightInd/>
      </w:pPr>
      <w:r>
        <w:br w:type="page"/>
      </w:r>
    </w:p>
    <w:p w:rsidR="004D6DED" w:rsidRPr="00077097" w:rsidRDefault="004D6DED" w:rsidP="004D6DED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4" w:name="_Toc440553019"/>
      <w:r w:rsidRPr="00077097">
        <w:rPr>
          <w:caps w:val="0"/>
        </w:rPr>
        <w:lastRenderedPageBreak/>
        <w:t>Quadro – Perfil dos atrasos na análise das contas prestadas por recebedores de recursos</w:t>
      </w:r>
      <w:bookmarkEnd w:id="4"/>
    </w:p>
    <w:tbl>
      <w:tblPr>
        <w:tblW w:w="498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1236"/>
        <w:gridCol w:w="1236"/>
        <w:gridCol w:w="1238"/>
        <w:gridCol w:w="1236"/>
        <w:gridCol w:w="1327"/>
      </w:tblGrid>
      <w:tr w:rsidR="004D6DED" w:rsidRPr="000E1250" w:rsidTr="00FC423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6DED" w:rsidRPr="000E1250" w:rsidRDefault="004D6DED" w:rsidP="00FC42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4D6DED" w:rsidRPr="000E1250" w:rsidTr="00FC423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  <w:r w:rsidR="00C5173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Instituto Federal de Educação, Ciência e Tecnologia do Amazonas - IFAM</w:t>
            </w:r>
          </w:p>
        </w:tc>
      </w:tr>
      <w:tr w:rsidR="004D6DED" w:rsidRPr="000E1250" w:rsidTr="00FC423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D" w:rsidRPr="000E1250" w:rsidRDefault="004D6DED" w:rsidP="00FC423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  <w:r w:rsidR="00C5173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158142/26403</w:t>
            </w:r>
          </w:p>
        </w:tc>
      </w:tr>
      <w:tr w:rsidR="004D6DED" w:rsidRPr="00E87F66" w:rsidTr="00FC42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Instrumentos da transferência</w:t>
            </w:r>
          </w:p>
        </w:tc>
        <w:tc>
          <w:tcPr>
            <w:tcW w:w="3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Quantidade </w:t>
            </w:r>
            <w:r>
              <w:rPr>
                <w:snapToGrid w:val="0"/>
                <w:sz w:val="20"/>
                <w:szCs w:val="20"/>
              </w:rPr>
              <w:t>de dias de atraso na análise das contas</w:t>
            </w:r>
          </w:p>
        </w:tc>
      </w:tr>
      <w:tr w:rsidR="004D6DED" w:rsidRPr="00E87F66" w:rsidTr="00FC42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Até 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31 a 60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61 a 90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91 a 120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Mais de 120 dias</w:t>
            </w:r>
          </w:p>
        </w:tc>
      </w:tr>
      <w:tr w:rsidR="004D6DED" w:rsidRPr="00E87F66" w:rsidTr="00FC42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Convênios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D6DED" w:rsidRPr="00E87F66" w:rsidTr="00FC42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Contratos de repasse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D6DED" w:rsidRPr="00E87F66" w:rsidTr="00FC42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Pr="00E87F66" w:rsidRDefault="004D6DED" w:rsidP="00FC4231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D6DED" w:rsidRPr="00E87F66" w:rsidTr="00FC423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DED" w:rsidRDefault="004D6DED" w:rsidP="00FC4231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D" w:rsidRPr="00E87F66" w:rsidRDefault="004D6DED" w:rsidP="00FC4231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D6DED" w:rsidRDefault="004D6DED" w:rsidP="004D6DED">
      <w:pPr>
        <w:spacing w:before="120" w:after="120"/>
      </w:pPr>
    </w:p>
    <w:p w:rsidR="004D6DED" w:rsidRDefault="004D6DED" w:rsidP="004D6DED">
      <w:pPr>
        <w:autoSpaceDE/>
        <w:autoSpaceDN/>
        <w:adjustRightInd/>
      </w:pPr>
      <w:r>
        <w:br w:type="page"/>
      </w:r>
    </w:p>
    <w:p w:rsidR="003C35C8" w:rsidRPr="001E0234" w:rsidRDefault="003C35C8" w:rsidP="003C35C8">
      <w:pPr>
        <w:autoSpaceDE/>
        <w:autoSpaceDN/>
        <w:adjustRightInd/>
        <w:spacing w:before="0" w:after="160" w:line="259" w:lineRule="auto"/>
        <w:rPr>
          <w:b/>
        </w:rPr>
      </w:pPr>
      <w:bookmarkStart w:id="5" w:name="_Toc440553020"/>
      <w:r w:rsidRPr="001E0234">
        <w:rPr>
          <w:b/>
        </w:rPr>
        <w:lastRenderedPageBreak/>
        <w:t>Análise Crítica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 xml:space="preserve">As medidas adotadas para sanear as duas prestações de contas inadimplentes consistem nas cobranças, por meio de ofícios, para as instituições recebedoras dos recursos. 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>A Fundação Universidade do Amazonas - FUA encaminhou, em 2014, prestação de contas parcial a qual foi analisada e devolvida ao órgão executor para ajustes e justificativas antes da elaboração de parecer. Até o presente momento a mesma não devolveu a prestação de contas com as solicitações atendidas. Por este motivo, no quadro “</w:t>
      </w:r>
      <w:r w:rsidRPr="00077097">
        <w:t>Situação da análise das contas prestadas no exercício de referência do relatório de gestão</w:t>
      </w:r>
      <w:r>
        <w:t>” a mesma encontra-se classificada como reprovada. A reiteração desta cobrança se deu por meio do Ofício nº 033 – PROAD/IFAM/2016, de 17 de fevereiro de 2016.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 xml:space="preserve">O Instituto Federal de Educação, Ciência e Tecnologia de Brasília - IFB, o qual firmou um Termo de Execução Descentralizada com o IFAM, encaminhou a prestação de contas em 2014, no entanto fora dos moldes solicitados. A cobrança de ajustes deu-se por meio dos Ofícios de nº 159/2014 – PROAD/Reitoria/IFAM, de 03 de julho de 2014, e 317/2014 – PROAD/Reitoria/IFAM, de 25 de novembro de 2014, encaminhado ao Magnífico Reitor do IFB, sr. Wilson </w:t>
      </w:r>
      <w:proofErr w:type="spellStart"/>
      <w:r>
        <w:t>Conciani</w:t>
      </w:r>
      <w:proofErr w:type="spellEnd"/>
      <w:r>
        <w:t>, o qual não foi atendido.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 xml:space="preserve">Com relação ao montante transferido no exercício de 2015, houve um aumento significativo em comparação com </w:t>
      </w:r>
      <w:proofErr w:type="gramStart"/>
      <w:r>
        <w:t>os demais anos em decorrência do Convênio nº</w:t>
      </w:r>
      <w:proofErr w:type="gramEnd"/>
      <w:r>
        <w:t xml:space="preserve"> 821006/2015 com a Fundação de Apoio ao Ensino, Pesquisa, Extensão e Interiorização do IFAM - FAEPI, cujo objeto é a execução do Processo Seletivo 2016 – 1º Semestre, por meio do SICONV, no montante de R$ 1.160.946,92</w:t>
      </w:r>
      <w:r w:rsidR="0009202E">
        <w:t>, que foi publicado no DOU, bem como na primeira página do site do IFAM.</w:t>
      </w:r>
      <w:r>
        <w:t xml:space="preserve"> 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>Nas Transferências pactuadas até 2014 no âmbito do IFAM Reitoria, não houve cláusulas contendo o prazo para a prestação de contas. Nestes casos a vigência tem sido acompanhada de acordo com o previsto na Portaria Interministerial n° 507, de 24 de novembro de 2011 em seu Artigo 72.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>Em 2015 foi estabelecida cláusula no termo de convênio que obriga o convenente a prestar contas em até sessenta dias após o encerramento da vigência ou a conclusão da execução do objeto, conforme preceitua a legislação. Outra cláusula acrescida condiciona as parcelas dos repasses à apresentação de prestação de contas parcial.</w:t>
      </w:r>
    </w:p>
    <w:p w:rsidR="009B4524" w:rsidRPr="002A6FA5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 xml:space="preserve">As prestações de contas vêm sendo efetuadas com maior eficiência e eficácia em razão da adoção de instrumentos de controle das atividades como </w:t>
      </w:r>
      <w:proofErr w:type="spellStart"/>
      <w:r>
        <w:t>checklists</w:t>
      </w:r>
      <w:proofErr w:type="spellEnd"/>
      <w:r>
        <w:t xml:space="preserve"> (listas de verificação) e fluxogramas, implantados pela Coordenação de Governança e Controle Interno no exercício de 2015, que tornaram as rotinas de análise de prestações de contas mais sistemáticas, ainda que a disponibilidade de pessoal para este fim tenha permanecido a mesma. Frisamos que, com relação a </w:t>
      </w:r>
      <w:proofErr w:type="spellStart"/>
      <w:r>
        <w:t>TED’s</w:t>
      </w:r>
      <w:proofErr w:type="spellEnd"/>
      <w:r>
        <w:t xml:space="preserve"> ou convênios, não se encontram prestações de contas pendentes de análise.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t xml:space="preserve">As estruturas de controle para o gerenciamento das transferências envolvem, no caso de convênios, a designação de fiscal para acompanhamento da execução. Nos </w:t>
      </w:r>
      <w:proofErr w:type="spellStart"/>
      <w:r>
        <w:t>TED’s</w:t>
      </w:r>
      <w:proofErr w:type="spellEnd"/>
      <w:r>
        <w:t xml:space="preserve"> há o envio periódico de relatórios por parte das instituições que executam estas ações de formação, informando a realização de cada etapa prevista em plano de trabalho.</w:t>
      </w:r>
    </w:p>
    <w:p w:rsidR="009B4524" w:rsidRDefault="009B4524" w:rsidP="009B4524">
      <w:pPr>
        <w:autoSpaceDE/>
        <w:autoSpaceDN/>
        <w:adjustRightInd/>
        <w:spacing w:before="0" w:after="160" w:line="259" w:lineRule="auto"/>
        <w:jc w:val="both"/>
      </w:pPr>
      <w:r>
        <w:lastRenderedPageBreak/>
        <w:t>No tocante às políticas públicas do IFAM, as transferências relativas aos programas de pós-graduação relacionam-se às mesmas à medida em que a capacitação dos servidores permite que estes profissionais atuem com maior capacidade técnica, dando aos mesmos um referencial de qualificação que eleve a sua atuação em prol da política de qualificação profissional.</w:t>
      </w:r>
    </w:p>
    <w:p w:rsidR="009B4524" w:rsidRDefault="009B4524" w:rsidP="009B4524">
      <w:r>
        <w:t>Com relação ao convênio celebrado em 2015, referente à execução do Processo Seletivo de Discentes, além de conferir publicidade e transparência ao processo de acesso aos cursos oferecidos pelo IFAM, sendo regido por editais, está em consonância com as políticas públicas educacionais e de inclusão social no âmbito do ensino público e gratuito com relação à educação profissional e tecnológica.</w:t>
      </w:r>
    </w:p>
    <w:p w:rsidR="00A5381F" w:rsidRPr="00B76338" w:rsidRDefault="00A5381F" w:rsidP="00B76338">
      <w:pPr>
        <w:autoSpaceDE/>
        <w:autoSpaceDN/>
        <w:adjustRightInd/>
        <w:spacing w:before="0" w:after="160" w:line="259" w:lineRule="auto"/>
        <w:jc w:val="both"/>
        <w:rPr>
          <w:b/>
          <w:bCs/>
          <w:szCs w:val="28"/>
        </w:rPr>
      </w:pPr>
      <w:bookmarkStart w:id="6" w:name="_GoBack"/>
      <w:bookmarkEnd w:id="5"/>
      <w:bookmarkEnd w:id="6"/>
    </w:p>
    <w:sectPr w:rsidR="00A5381F" w:rsidRPr="00B76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ED7"/>
    <w:multiLevelType w:val="hybridMultilevel"/>
    <w:tmpl w:val="9AF0646C"/>
    <w:lvl w:ilvl="0" w:tplc="0416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>
    <w:nsid w:val="0EA162CA"/>
    <w:multiLevelType w:val="hybridMultilevel"/>
    <w:tmpl w:val="5E321D3E"/>
    <w:lvl w:ilvl="0" w:tplc="0416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2">
    <w:nsid w:val="0ED77DDB"/>
    <w:multiLevelType w:val="hybridMultilevel"/>
    <w:tmpl w:val="10EEEC0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8F15D92"/>
    <w:multiLevelType w:val="hybridMultilevel"/>
    <w:tmpl w:val="C9321666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D293492"/>
    <w:multiLevelType w:val="hybridMultilevel"/>
    <w:tmpl w:val="012061A4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EDF2D6A"/>
    <w:multiLevelType w:val="hybridMultilevel"/>
    <w:tmpl w:val="07EE76D6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43BF2A8B"/>
    <w:multiLevelType w:val="hybridMultilevel"/>
    <w:tmpl w:val="CDCEF9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60458"/>
    <w:multiLevelType w:val="hybridMultilevel"/>
    <w:tmpl w:val="BBD202B2"/>
    <w:lvl w:ilvl="0" w:tplc="0416000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0880" w:hanging="360"/>
      </w:pPr>
      <w:rPr>
        <w:rFonts w:ascii="Wingdings" w:hAnsi="Wingdings" w:hint="default"/>
      </w:rPr>
    </w:lvl>
  </w:abstractNum>
  <w:abstractNum w:abstractNumId="8">
    <w:nsid w:val="4E641229"/>
    <w:multiLevelType w:val="hybridMultilevel"/>
    <w:tmpl w:val="BDF03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F54C1"/>
    <w:multiLevelType w:val="hybridMultilevel"/>
    <w:tmpl w:val="5B6CA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EEF69F6"/>
    <w:multiLevelType w:val="hybridMultilevel"/>
    <w:tmpl w:val="B52CD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A4F30"/>
    <w:multiLevelType w:val="hybridMultilevel"/>
    <w:tmpl w:val="5E101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7AB3650"/>
    <w:multiLevelType w:val="hybridMultilevel"/>
    <w:tmpl w:val="D5EC4C78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7C87140E"/>
    <w:multiLevelType w:val="hybridMultilevel"/>
    <w:tmpl w:val="14EC15DE"/>
    <w:lvl w:ilvl="0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ED"/>
    <w:rsid w:val="00006EC3"/>
    <w:rsid w:val="0001065F"/>
    <w:rsid w:val="0009202E"/>
    <w:rsid w:val="00132557"/>
    <w:rsid w:val="0015558D"/>
    <w:rsid w:val="001742C8"/>
    <w:rsid w:val="001E0234"/>
    <w:rsid w:val="00221642"/>
    <w:rsid w:val="00267EBA"/>
    <w:rsid w:val="002A6FA5"/>
    <w:rsid w:val="002D4A38"/>
    <w:rsid w:val="003146DD"/>
    <w:rsid w:val="003C35C8"/>
    <w:rsid w:val="004430B0"/>
    <w:rsid w:val="004D6DED"/>
    <w:rsid w:val="00505F4C"/>
    <w:rsid w:val="005735CF"/>
    <w:rsid w:val="005A06EF"/>
    <w:rsid w:val="005A2A6C"/>
    <w:rsid w:val="00635CA9"/>
    <w:rsid w:val="006910F0"/>
    <w:rsid w:val="006A1C73"/>
    <w:rsid w:val="006D3D0B"/>
    <w:rsid w:val="00774548"/>
    <w:rsid w:val="008541B7"/>
    <w:rsid w:val="00881769"/>
    <w:rsid w:val="00935556"/>
    <w:rsid w:val="00981EC7"/>
    <w:rsid w:val="00983993"/>
    <w:rsid w:val="009976B7"/>
    <w:rsid w:val="009B4524"/>
    <w:rsid w:val="00A45BDF"/>
    <w:rsid w:val="00A5381F"/>
    <w:rsid w:val="00A75BF6"/>
    <w:rsid w:val="00A92188"/>
    <w:rsid w:val="00B76338"/>
    <w:rsid w:val="00BC5A55"/>
    <w:rsid w:val="00C03801"/>
    <w:rsid w:val="00C5173D"/>
    <w:rsid w:val="00CA1332"/>
    <w:rsid w:val="00CD3D1B"/>
    <w:rsid w:val="00CE7520"/>
    <w:rsid w:val="00D42970"/>
    <w:rsid w:val="00D657A4"/>
    <w:rsid w:val="00DD0554"/>
    <w:rsid w:val="00E717D1"/>
    <w:rsid w:val="00F424C6"/>
    <w:rsid w:val="00FB1CBD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D6DED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4D6DED"/>
    <w:pPr>
      <w:numPr>
        <w:ilvl w:val="4"/>
        <w:numId w:val="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4D6DED"/>
    <w:pPr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D6DED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D6DED"/>
    <w:pPr>
      <w:keepNext/>
      <w:widowControl w:val="0"/>
      <w:numPr>
        <w:ilvl w:val="7"/>
        <w:numId w:val="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D6DED"/>
    <w:pPr>
      <w:numPr>
        <w:ilvl w:val="8"/>
        <w:numId w:val="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D6DED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4D6DED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D6DED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4D6DE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4D6DED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4D6DED"/>
    <w:rPr>
      <w:rFonts w:ascii="Times New Roman" w:eastAsia="Times New Roman" w:hAnsi="Times New Roman" w:cs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D6DED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4D6DED"/>
    <w:pPr>
      <w:numPr>
        <w:ilvl w:val="4"/>
        <w:numId w:val="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4D6DED"/>
    <w:pPr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D6DED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D6DED"/>
    <w:pPr>
      <w:keepNext/>
      <w:widowControl w:val="0"/>
      <w:numPr>
        <w:ilvl w:val="7"/>
        <w:numId w:val="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D6DED"/>
    <w:pPr>
      <w:numPr>
        <w:ilvl w:val="8"/>
        <w:numId w:val="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D6DED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4D6DED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D6DED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4D6DE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4D6DED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4D6DED"/>
    <w:rPr>
      <w:rFonts w:ascii="Times New Roman" w:eastAsia="Times New Roman" w:hAnsi="Times New Roman" w:cs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Martins Luz</dc:creator>
  <cp:lastModifiedBy>Gean Max Angelim de Lima</cp:lastModifiedBy>
  <cp:revision>2</cp:revision>
  <dcterms:created xsi:type="dcterms:W3CDTF">2016-02-26T21:02:00Z</dcterms:created>
  <dcterms:modified xsi:type="dcterms:W3CDTF">2016-02-26T21:02:00Z</dcterms:modified>
</cp:coreProperties>
</file>