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5D" w:rsidRPr="004E53C8" w:rsidRDefault="0060545D" w:rsidP="0060545D">
      <w:pPr>
        <w:pStyle w:val="PargrafodaLista"/>
        <w:numPr>
          <w:ilvl w:val="0"/>
          <w:numId w:val="1"/>
        </w:numPr>
        <w:spacing w:after="0"/>
        <w:outlineLvl w:val="1"/>
        <w:rPr>
          <w:rFonts w:ascii="Arial" w:hAnsi="Arial" w:cs="Arial"/>
          <w:b/>
          <w:bCs/>
          <w:szCs w:val="24"/>
        </w:rPr>
      </w:pPr>
      <w:bookmarkStart w:id="0" w:name="_Toc470002478"/>
      <w:r w:rsidRPr="004E53C8">
        <w:rPr>
          <w:rFonts w:ascii="Arial" w:hAnsi="Arial" w:cs="Arial"/>
          <w:b/>
          <w:bCs/>
          <w:szCs w:val="24"/>
        </w:rPr>
        <w:t>CONFORMIDADE DA GESTÃO E DEMANDAS DE ÓRGÃOS DE CONTROLE</w:t>
      </w:r>
      <w:bookmarkEnd w:id="0"/>
    </w:p>
    <w:p w:rsidR="0060545D" w:rsidRPr="004E53C8" w:rsidRDefault="0060545D" w:rsidP="0060545D">
      <w:pPr>
        <w:pStyle w:val="PargrafodaLista"/>
        <w:spacing w:after="0"/>
        <w:ind w:left="993"/>
        <w:outlineLvl w:val="1"/>
        <w:rPr>
          <w:rFonts w:ascii="Arial" w:hAnsi="Arial" w:cs="Arial"/>
          <w:b/>
          <w:bCs/>
          <w:szCs w:val="24"/>
        </w:rPr>
      </w:pPr>
    </w:p>
    <w:p w:rsidR="0060545D" w:rsidRPr="004E53C8" w:rsidRDefault="0060545D" w:rsidP="0060545D">
      <w:pPr>
        <w:pStyle w:val="PargrafodaLista"/>
        <w:numPr>
          <w:ilvl w:val="1"/>
          <w:numId w:val="1"/>
        </w:numPr>
        <w:spacing w:after="0"/>
        <w:outlineLvl w:val="1"/>
        <w:rPr>
          <w:rFonts w:ascii="Arial" w:hAnsi="Arial" w:cs="Arial"/>
          <w:b/>
          <w:bCs/>
          <w:szCs w:val="24"/>
        </w:rPr>
      </w:pPr>
      <w:bookmarkStart w:id="1" w:name="_Toc470002479"/>
      <w:r w:rsidRPr="004E53C8">
        <w:rPr>
          <w:rFonts w:ascii="Arial" w:hAnsi="Arial" w:cs="Arial"/>
          <w:b/>
          <w:bCs/>
          <w:szCs w:val="24"/>
        </w:rPr>
        <w:t>Tratamento de determinações e recomendações do TCU</w:t>
      </w:r>
      <w:bookmarkEnd w:id="1"/>
    </w:p>
    <w:p w:rsidR="0060545D" w:rsidRPr="004E53C8" w:rsidRDefault="0060545D" w:rsidP="0060545D">
      <w:pPr>
        <w:pStyle w:val="PargrafodaLista"/>
        <w:spacing w:after="0"/>
        <w:ind w:left="993"/>
        <w:outlineLvl w:val="1"/>
        <w:rPr>
          <w:rFonts w:ascii="Arial" w:hAnsi="Arial" w:cs="Arial"/>
          <w:color w:val="000000"/>
          <w:spacing w:val="-7"/>
        </w:rPr>
      </w:pPr>
    </w:p>
    <w:p w:rsidR="0060545D" w:rsidRPr="004E53C8" w:rsidRDefault="0060545D" w:rsidP="0060545D">
      <w:pPr>
        <w:pStyle w:val="PargrafodaLista"/>
        <w:tabs>
          <w:tab w:val="left" w:pos="6105"/>
        </w:tabs>
        <w:spacing w:after="0"/>
        <w:ind w:left="284" w:firstLine="709"/>
        <w:rPr>
          <w:rFonts w:ascii="Arial" w:eastAsia="Times New Roman" w:hAnsi="Arial" w:cs="Arial"/>
          <w:szCs w:val="24"/>
          <w:lang w:eastAsia="ar-SA"/>
        </w:rPr>
      </w:pPr>
      <w:r w:rsidRPr="004E53C8">
        <w:rPr>
          <w:rFonts w:ascii="Arial" w:eastAsia="Times New Roman" w:hAnsi="Arial" w:cs="Arial"/>
          <w:szCs w:val="24"/>
          <w:lang w:eastAsia="ar-SA"/>
        </w:rPr>
        <w:t>O Tribunal de Contas da União (TCU)</w:t>
      </w:r>
      <w:r w:rsidR="00525AD8" w:rsidRPr="004E53C8">
        <w:rPr>
          <w:rFonts w:ascii="Arial" w:eastAsia="Times New Roman" w:hAnsi="Arial" w:cs="Arial"/>
          <w:szCs w:val="24"/>
          <w:lang w:eastAsia="ar-SA"/>
        </w:rPr>
        <w:t>, no exercício de 2016</w:t>
      </w:r>
      <w:r w:rsidRPr="004E53C8">
        <w:rPr>
          <w:rFonts w:ascii="Arial" w:eastAsia="Times New Roman" w:hAnsi="Arial" w:cs="Arial"/>
          <w:szCs w:val="24"/>
          <w:lang w:eastAsia="ar-SA"/>
        </w:rPr>
        <w:t xml:space="preserve">, encaminhou ao IFAM os seguintes Acórdãos que continham Determinações e Recomendações: </w:t>
      </w:r>
    </w:p>
    <w:p w:rsidR="0060545D" w:rsidRPr="004E53C8" w:rsidRDefault="0060545D" w:rsidP="0060545D">
      <w:pPr>
        <w:pStyle w:val="Legenda"/>
        <w:keepNext/>
        <w:rPr>
          <w:rFonts w:ascii="Arial" w:hAnsi="Arial" w:cs="Arial"/>
        </w:rPr>
      </w:pPr>
      <w:bookmarkStart w:id="2" w:name="_Toc470002316"/>
      <w:r w:rsidRPr="004E53C8">
        <w:rPr>
          <w:rFonts w:ascii="Arial" w:hAnsi="Arial" w:cs="Arial"/>
        </w:rPr>
        <w:t xml:space="preserve">Tabela </w:t>
      </w:r>
      <w:r w:rsidR="00D26DBF" w:rsidRPr="004E53C8">
        <w:rPr>
          <w:rFonts w:ascii="Arial" w:hAnsi="Arial" w:cs="Arial"/>
        </w:rPr>
        <w:fldChar w:fldCharType="begin"/>
      </w:r>
      <w:r w:rsidR="00D26DBF" w:rsidRPr="004E53C8">
        <w:rPr>
          <w:rFonts w:ascii="Arial" w:hAnsi="Arial" w:cs="Arial"/>
        </w:rPr>
        <w:instrText xml:space="preserve"> SEQ Tabela \* ARABIC </w:instrText>
      </w:r>
      <w:r w:rsidR="00D26DBF" w:rsidRPr="004E53C8">
        <w:rPr>
          <w:rFonts w:ascii="Arial" w:hAnsi="Arial" w:cs="Arial"/>
        </w:rPr>
        <w:fldChar w:fldCharType="separate"/>
      </w:r>
      <w:r w:rsidRPr="004E53C8">
        <w:rPr>
          <w:rFonts w:ascii="Arial" w:hAnsi="Arial" w:cs="Arial"/>
          <w:noProof/>
        </w:rPr>
        <w:t>183</w:t>
      </w:r>
      <w:r w:rsidR="00D26DBF" w:rsidRPr="004E53C8">
        <w:rPr>
          <w:rFonts w:ascii="Arial" w:hAnsi="Arial" w:cs="Arial"/>
          <w:noProof/>
        </w:rPr>
        <w:fldChar w:fldCharType="end"/>
      </w:r>
      <w:r w:rsidRPr="004E53C8">
        <w:rPr>
          <w:rFonts w:ascii="Arial" w:hAnsi="Arial" w:cs="Arial"/>
          <w:noProof/>
        </w:rPr>
        <w:t xml:space="preserve">  Quadro</w:t>
      </w:r>
      <w:r w:rsidRPr="004E53C8">
        <w:rPr>
          <w:rFonts w:ascii="Arial" w:hAnsi="Arial" w:cs="Arial"/>
        </w:rPr>
        <w:t xml:space="preserve"> Acórdãos do TCU</w:t>
      </w:r>
      <w:bookmarkEnd w:id="2"/>
    </w:p>
    <w:tbl>
      <w:tblPr>
        <w:tblW w:w="9322" w:type="dxa"/>
        <w:jc w:val="center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4"/>
        <w:gridCol w:w="1565"/>
        <w:gridCol w:w="3113"/>
        <w:gridCol w:w="2410"/>
      </w:tblGrid>
      <w:tr w:rsidR="0060545D" w:rsidRPr="004E53C8" w:rsidTr="003817CD">
        <w:trPr>
          <w:trHeight w:val="255"/>
          <w:jc w:val="center"/>
        </w:trPr>
        <w:tc>
          <w:tcPr>
            <w:tcW w:w="2234" w:type="dxa"/>
            <w:shd w:val="clear" w:color="auto" w:fill="D9D9D9"/>
            <w:vAlign w:val="center"/>
          </w:tcPr>
          <w:p w:rsidR="0060545D" w:rsidRPr="004E53C8" w:rsidRDefault="0060545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Processo</w:t>
            </w:r>
          </w:p>
        </w:tc>
        <w:tc>
          <w:tcPr>
            <w:tcW w:w="1565" w:type="dxa"/>
            <w:shd w:val="clear" w:color="auto" w:fill="D9D9D9"/>
            <w:vAlign w:val="center"/>
            <w:hideMark/>
          </w:tcPr>
          <w:p w:rsidR="0060545D" w:rsidRPr="004E53C8" w:rsidRDefault="0060545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Acórdão</w:t>
            </w:r>
          </w:p>
        </w:tc>
        <w:tc>
          <w:tcPr>
            <w:tcW w:w="3113" w:type="dxa"/>
            <w:shd w:val="clear" w:color="auto" w:fill="D9D9D9"/>
            <w:noWrap/>
            <w:vAlign w:val="center"/>
            <w:hideMark/>
          </w:tcPr>
          <w:p w:rsidR="0060545D" w:rsidRPr="004E53C8" w:rsidRDefault="0060545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Objeto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60545D" w:rsidRPr="004E53C8" w:rsidRDefault="0060545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Tipo</w:t>
            </w:r>
          </w:p>
        </w:tc>
      </w:tr>
      <w:tr w:rsidR="0060545D" w:rsidRPr="004E53C8" w:rsidTr="003817CD">
        <w:trPr>
          <w:trHeight w:val="514"/>
          <w:jc w:val="center"/>
        </w:trPr>
        <w:tc>
          <w:tcPr>
            <w:tcW w:w="2234" w:type="dxa"/>
            <w:vAlign w:val="center"/>
          </w:tcPr>
          <w:p w:rsidR="0060545D" w:rsidRPr="004E53C8" w:rsidRDefault="0060545D" w:rsidP="00CB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TC </w:t>
            </w:r>
            <w:r w:rsidR="00CB6AFB"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005.003/2016-4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60545D" w:rsidRPr="004E53C8" w:rsidRDefault="0060545D" w:rsidP="00CB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Acórdão </w:t>
            </w:r>
            <w:r w:rsidR="00CB6AFB"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456/2016 - Plenário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CB6AFB" w:rsidRPr="004E53C8" w:rsidRDefault="00CB6AFB" w:rsidP="00CB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Possíveis irregularidades em</w:t>
            </w: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pregão  eletrônico (45/2015)  para  fornecimento  de  alimentação  e  cessão  de  espaço  físico.</w:t>
            </w:r>
          </w:p>
          <w:p w:rsidR="0060545D" w:rsidRPr="004E53C8" w:rsidRDefault="00CB6AFB" w:rsidP="00CB6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Conhecimento. Procedência parcial. Determinação</w:t>
            </w:r>
          </w:p>
        </w:tc>
        <w:tc>
          <w:tcPr>
            <w:tcW w:w="2410" w:type="dxa"/>
            <w:vAlign w:val="center"/>
          </w:tcPr>
          <w:p w:rsidR="0060545D" w:rsidRPr="004E53C8" w:rsidRDefault="0060545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Determinação</w:t>
            </w:r>
          </w:p>
        </w:tc>
      </w:tr>
      <w:tr w:rsidR="0060545D" w:rsidRPr="004E53C8" w:rsidTr="003817CD">
        <w:trPr>
          <w:trHeight w:val="819"/>
          <w:jc w:val="center"/>
        </w:trPr>
        <w:tc>
          <w:tcPr>
            <w:tcW w:w="2234" w:type="dxa"/>
            <w:shd w:val="clear" w:color="auto" w:fill="F2F2F2" w:themeFill="background1" w:themeFillShade="F2"/>
            <w:vAlign w:val="center"/>
          </w:tcPr>
          <w:p w:rsidR="0060545D" w:rsidRPr="004E53C8" w:rsidRDefault="00177EC1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TC 009.006/2009-9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:rsidR="0060545D" w:rsidRPr="004E53C8" w:rsidRDefault="00177EC1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Acórdão 3046/2016 – Plenário</w:t>
            </w:r>
          </w:p>
          <w:p w:rsidR="00177EC1" w:rsidRPr="004E53C8" w:rsidRDefault="00177EC1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:rsidR="0060545D" w:rsidRPr="004E53C8" w:rsidRDefault="00D52848" w:rsidP="009E1874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Interrupção dos descontos à servidora Maria Helena Oliveira Nogueira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0545D" w:rsidRPr="004E53C8" w:rsidRDefault="0060545D" w:rsidP="009E1874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Determinação</w:t>
            </w:r>
          </w:p>
        </w:tc>
      </w:tr>
      <w:tr w:rsidR="0060545D" w:rsidRPr="004E53C8" w:rsidTr="003817CD">
        <w:trPr>
          <w:trHeight w:val="597"/>
          <w:jc w:val="center"/>
        </w:trPr>
        <w:tc>
          <w:tcPr>
            <w:tcW w:w="2234" w:type="dxa"/>
            <w:vAlign w:val="center"/>
          </w:tcPr>
          <w:p w:rsidR="0060545D" w:rsidRPr="004E53C8" w:rsidRDefault="00D52848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TC 033.555/2015-0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0545D" w:rsidRPr="004E53C8" w:rsidRDefault="00D52848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Acórdão 760/2016 - Plenário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0545D" w:rsidRPr="004E53C8" w:rsidRDefault="00D52848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Possível compra excessiva de café e açúcar no Campus Coari.</w:t>
            </w:r>
          </w:p>
        </w:tc>
        <w:tc>
          <w:tcPr>
            <w:tcW w:w="2410" w:type="dxa"/>
            <w:vAlign w:val="center"/>
          </w:tcPr>
          <w:p w:rsidR="0060545D" w:rsidRPr="004E53C8" w:rsidRDefault="0060545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Determinação</w:t>
            </w:r>
          </w:p>
        </w:tc>
      </w:tr>
      <w:tr w:rsidR="0060545D" w:rsidRPr="004E53C8" w:rsidTr="003817CD">
        <w:trPr>
          <w:trHeight w:val="597"/>
          <w:jc w:val="center"/>
        </w:trPr>
        <w:tc>
          <w:tcPr>
            <w:tcW w:w="2234" w:type="dxa"/>
            <w:vAlign w:val="center"/>
          </w:tcPr>
          <w:p w:rsidR="0060545D" w:rsidRPr="004E53C8" w:rsidRDefault="00D52848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TC 033.559/2015-5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0545D" w:rsidRPr="004E53C8" w:rsidRDefault="00D52848" w:rsidP="00D5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Acórdão </w:t>
            </w: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3275/2016 – 2ª câmara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0545D" w:rsidRPr="004E53C8" w:rsidRDefault="00D52848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Pregão eletrônico SRP 4/2015 - serviços de manutenção preventiva e </w:t>
            </w: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corretiva de ar condicionados</w:t>
            </w:r>
            <w:proofErr w:type="gramEnd"/>
          </w:p>
        </w:tc>
        <w:tc>
          <w:tcPr>
            <w:tcW w:w="2410" w:type="dxa"/>
            <w:vAlign w:val="center"/>
          </w:tcPr>
          <w:p w:rsidR="0060545D" w:rsidRPr="004E53C8" w:rsidRDefault="00200EC5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Determinação</w:t>
            </w:r>
          </w:p>
        </w:tc>
      </w:tr>
      <w:tr w:rsidR="003D483B" w:rsidRPr="004E53C8" w:rsidTr="003817CD">
        <w:trPr>
          <w:trHeight w:val="597"/>
          <w:jc w:val="center"/>
        </w:trPr>
        <w:tc>
          <w:tcPr>
            <w:tcW w:w="2234" w:type="dxa"/>
            <w:vAlign w:val="center"/>
          </w:tcPr>
          <w:p w:rsidR="003D483B" w:rsidRPr="004E53C8" w:rsidRDefault="003D483B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TC 024.329.2015-0 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D483B" w:rsidRPr="004E53C8" w:rsidRDefault="00A90ACD" w:rsidP="00A90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Acórdão </w:t>
            </w: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1006</w:t>
            </w: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/2016 - Plenário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3D483B" w:rsidRPr="004E53C8" w:rsidRDefault="004D5444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hAnsi="Arial" w:cs="Arial"/>
                <w:sz w:val="20"/>
                <w:szCs w:val="20"/>
              </w:rPr>
              <w:t xml:space="preserve">Fiscalização de Orientação Centralizada destinada a avaliar a aplicação de recursos financeiros transferidos pela União na iniciativa Bolsa-Formação do Programa Nacional de Acesso ao Ensino Técnico e Emprego - </w:t>
            </w:r>
            <w:proofErr w:type="spellStart"/>
            <w:r w:rsidRPr="004E53C8">
              <w:rPr>
                <w:rFonts w:ascii="Arial" w:hAnsi="Arial" w:cs="Arial"/>
                <w:sz w:val="20"/>
                <w:szCs w:val="20"/>
              </w:rPr>
              <w:t>Pronatec</w:t>
            </w:r>
            <w:proofErr w:type="spellEnd"/>
            <w:r w:rsidRPr="004E53C8">
              <w:rPr>
                <w:rFonts w:ascii="Arial" w:hAnsi="Arial" w:cs="Arial"/>
                <w:sz w:val="20"/>
                <w:szCs w:val="20"/>
              </w:rPr>
              <w:t>. Consolidação das auditorias</w:t>
            </w:r>
          </w:p>
        </w:tc>
        <w:tc>
          <w:tcPr>
            <w:tcW w:w="2410" w:type="dxa"/>
            <w:vAlign w:val="center"/>
          </w:tcPr>
          <w:p w:rsidR="003D483B" w:rsidRPr="004E53C8" w:rsidRDefault="00A90AC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Determinação</w:t>
            </w:r>
          </w:p>
        </w:tc>
      </w:tr>
      <w:tr w:rsidR="0060545D" w:rsidRPr="004E53C8" w:rsidTr="003817CD">
        <w:trPr>
          <w:trHeight w:val="514"/>
          <w:jc w:val="center"/>
        </w:trPr>
        <w:tc>
          <w:tcPr>
            <w:tcW w:w="2234" w:type="dxa"/>
            <w:shd w:val="clear" w:color="auto" w:fill="D9D9D9"/>
            <w:vAlign w:val="center"/>
          </w:tcPr>
          <w:p w:rsidR="0060545D" w:rsidRPr="004E53C8" w:rsidRDefault="0060545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5" w:type="dxa"/>
            <w:shd w:val="clear" w:color="auto" w:fill="D9D9D9"/>
            <w:vAlign w:val="center"/>
            <w:hideMark/>
          </w:tcPr>
          <w:p w:rsidR="0060545D" w:rsidRPr="004E53C8" w:rsidRDefault="0060545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Total de Acórdãos</w:t>
            </w:r>
          </w:p>
        </w:tc>
        <w:tc>
          <w:tcPr>
            <w:tcW w:w="3113" w:type="dxa"/>
            <w:shd w:val="clear" w:color="auto" w:fill="D9D9D9"/>
            <w:vAlign w:val="center"/>
            <w:hideMark/>
          </w:tcPr>
          <w:p w:rsidR="0060545D" w:rsidRPr="004E53C8" w:rsidRDefault="003D483B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</w:t>
            </w:r>
            <w:r w:rsidR="0060545D" w:rsidRPr="004E5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60545D" w:rsidRPr="004E53C8" w:rsidRDefault="0060545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60545D" w:rsidRPr="004E53C8" w:rsidRDefault="0060545D" w:rsidP="0060545D">
      <w:pPr>
        <w:pStyle w:val="PargrafodaLista"/>
        <w:spacing w:after="0"/>
        <w:ind w:left="284"/>
        <w:rPr>
          <w:rFonts w:ascii="Arial" w:hAnsi="Arial" w:cs="Arial"/>
          <w:b/>
          <w:sz w:val="20"/>
          <w:szCs w:val="20"/>
        </w:rPr>
      </w:pPr>
      <w:r w:rsidRPr="004E53C8">
        <w:rPr>
          <w:rFonts w:ascii="Arial" w:hAnsi="Arial" w:cs="Arial"/>
          <w:sz w:val="20"/>
          <w:szCs w:val="20"/>
        </w:rPr>
        <w:t>Fo</w:t>
      </w:r>
      <w:r w:rsidR="00A90ACD" w:rsidRPr="004E53C8">
        <w:rPr>
          <w:rFonts w:ascii="Arial" w:hAnsi="Arial" w:cs="Arial"/>
          <w:sz w:val="20"/>
          <w:szCs w:val="20"/>
        </w:rPr>
        <w:t xml:space="preserve">nte: Portal do TCU / SIPAC / </w:t>
      </w:r>
      <w:r w:rsidRPr="004E53C8">
        <w:rPr>
          <w:rFonts w:ascii="Arial" w:hAnsi="Arial" w:cs="Arial"/>
          <w:sz w:val="20"/>
          <w:szCs w:val="20"/>
        </w:rPr>
        <w:t xml:space="preserve">Fichas de Controle Interno – CGCI. </w:t>
      </w:r>
    </w:p>
    <w:p w:rsidR="003817CD" w:rsidRDefault="003817CD" w:rsidP="0060545D">
      <w:pPr>
        <w:pStyle w:val="PargrafodaLista"/>
        <w:spacing w:after="0"/>
        <w:ind w:left="0" w:firstLine="851"/>
        <w:rPr>
          <w:rFonts w:ascii="Arial" w:hAnsi="Arial" w:cs="Arial"/>
          <w:szCs w:val="24"/>
        </w:rPr>
      </w:pPr>
    </w:p>
    <w:p w:rsidR="0060545D" w:rsidRPr="004E53C8" w:rsidRDefault="0060545D" w:rsidP="0060545D">
      <w:pPr>
        <w:pStyle w:val="PargrafodaLista"/>
        <w:spacing w:after="0"/>
        <w:ind w:left="0" w:firstLine="851"/>
        <w:rPr>
          <w:rFonts w:ascii="Arial" w:hAnsi="Arial" w:cs="Arial"/>
          <w:szCs w:val="24"/>
        </w:rPr>
      </w:pPr>
      <w:r w:rsidRPr="004E53C8">
        <w:rPr>
          <w:rFonts w:ascii="Arial" w:hAnsi="Arial" w:cs="Arial"/>
          <w:szCs w:val="24"/>
        </w:rPr>
        <w:t>Dos Acórdãos citados acima, infere-se uma visão geral comparativa das “determinações e recomendações recebidas” em relação às “atendidas”, “em atendimento” e “não atendidas”, tratadas no decorrer de 201</w:t>
      </w:r>
      <w:r w:rsidR="002D32B3" w:rsidRPr="004E53C8">
        <w:rPr>
          <w:rFonts w:ascii="Arial" w:hAnsi="Arial" w:cs="Arial"/>
          <w:szCs w:val="24"/>
        </w:rPr>
        <w:t>6</w:t>
      </w:r>
      <w:r w:rsidRPr="004E53C8">
        <w:rPr>
          <w:rFonts w:ascii="Arial" w:hAnsi="Arial" w:cs="Arial"/>
          <w:szCs w:val="24"/>
        </w:rPr>
        <w:t>, conforme o Quadro abaixo:</w:t>
      </w:r>
    </w:p>
    <w:p w:rsidR="0060545D" w:rsidRPr="004E53C8" w:rsidRDefault="0060545D" w:rsidP="003817CD">
      <w:pPr>
        <w:spacing w:after="160" w:line="259" w:lineRule="auto"/>
        <w:jc w:val="left"/>
        <w:rPr>
          <w:rFonts w:ascii="Arial" w:hAnsi="Arial" w:cs="Arial"/>
        </w:rPr>
      </w:pPr>
      <w:r w:rsidRPr="004E53C8">
        <w:rPr>
          <w:rFonts w:ascii="Arial" w:hAnsi="Arial" w:cs="Arial"/>
          <w:highlight w:val="yellow"/>
        </w:rPr>
        <w:br w:type="page"/>
      </w:r>
      <w:bookmarkStart w:id="3" w:name="_Toc470002317"/>
      <w:r w:rsidR="003817CD">
        <w:rPr>
          <w:rFonts w:ascii="Arial" w:hAnsi="Arial" w:cs="Arial"/>
        </w:rPr>
        <w:lastRenderedPageBreak/>
        <w:t>T</w:t>
      </w:r>
      <w:r w:rsidRPr="004E53C8">
        <w:rPr>
          <w:rFonts w:ascii="Arial" w:hAnsi="Arial" w:cs="Arial"/>
        </w:rPr>
        <w:t xml:space="preserve">abela </w:t>
      </w:r>
      <w:r w:rsidR="00D26DBF" w:rsidRPr="004E53C8">
        <w:rPr>
          <w:rFonts w:ascii="Arial" w:hAnsi="Arial" w:cs="Arial"/>
        </w:rPr>
        <w:fldChar w:fldCharType="begin"/>
      </w:r>
      <w:r w:rsidR="00D26DBF" w:rsidRPr="004E53C8">
        <w:rPr>
          <w:rFonts w:ascii="Arial" w:hAnsi="Arial" w:cs="Arial"/>
        </w:rPr>
        <w:instrText xml:space="preserve"> SEQ Tabela \* ARABIC </w:instrText>
      </w:r>
      <w:r w:rsidR="00D26DBF" w:rsidRPr="004E53C8">
        <w:rPr>
          <w:rFonts w:ascii="Arial" w:hAnsi="Arial" w:cs="Arial"/>
        </w:rPr>
        <w:fldChar w:fldCharType="separate"/>
      </w:r>
      <w:r w:rsidRPr="004E53C8">
        <w:rPr>
          <w:rFonts w:ascii="Arial" w:hAnsi="Arial" w:cs="Arial"/>
          <w:noProof/>
        </w:rPr>
        <w:t>184</w:t>
      </w:r>
      <w:r w:rsidR="00D26DBF" w:rsidRPr="004E53C8">
        <w:rPr>
          <w:rFonts w:ascii="Arial" w:hAnsi="Arial" w:cs="Arial"/>
          <w:noProof/>
        </w:rPr>
        <w:fldChar w:fldCharType="end"/>
      </w:r>
      <w:r w:rsidRPr="004E53C8">
        <w:rPr>
          <w:rFonts w:ascii="Arial" w:hAnsi="Arial" w:cs="Arial"/>
        </w:rPr>
        <w:t xml:space="preserve"> Quadro - Quantidade de Determinações e Recomendações do TCU</w:t>
      </w:r>
      <w:bookmarkEnd w:id="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438"/>
        <w:gridCol w:w="1508"/>
        <w:gridCol w:w="1658"/>
        <w:gridCol w:w="1608"/>
      </w:tblGrid>
      <w:tr w:rsidR="0060545D" w:rsidRPr="004E53C8" w:rsidTr="009E1874">
        <w:trPr>
          <w:trHeight w:val="255"/>
          <w:tblHeader/>
          <w:jc w:val="center"/>
        </w:trPr>
        <w:tc>
          <w:tcPr>
            <w:tcW w:w="1407" w:type="pct"/>
            <w:shd w:val="clear" w:color="auto" w:fill="D9D9D9"/>
            <w:vAlign w:val="center"/>
          </w:tcPr>
          <w:p w:rsidR="0060545D" w:rsidRPr="004E53C8" w:rsidRDefault="0060545D" w:rsidP="009E1874">
            <w:pPr>
              <w:spacing w:after="0" w:line="240" w:lineRule="auto"/>
              <w:ind w:left="1240" w:hanging="1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93" w:type="pct"/>
            <w:gridSpan w:val="4"/>
            <w:shd w:val="clear" w:color="auto" w:fill="D9D9D9"/>
            <w:vAlign w:val="center"/>
          </w:tcPr>
          <w:p w:rsidR="0060545D" w:rsidRPr="004E53C8" w:rsidRDefault="0060545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Quantidade de Determinações e Recomendações</w:t>
            </w:r>
          </w:p>
        </w:tc>
      </w:tr>
      <w:tr w:rsidR="0060545D" w:rsidRPr="004E53C8" w:rsidTr="009E1874">
        <w:trPr>
          <w:trHeight w:val="255"/>
          <w:tblHeader/>
          <w:jc w:val="center"/>
        </w:trPr>
        <w:tc>
          <w:tcPr>
            <w:tcW w:w="1407" w:type="pct"/>
            <w:shd w:val="clear" w:color="auto" w:fill="D9D9D9"/>
            <w:vAlign w:val="center"/>
            <w:hideMark/>
          </w:tcPr>
          <w:p w:rsidR="0060545D" w:rsidRPr="004E53C8" w:rsidRDefault="0060545D" w:rsidP="009E1874">
            <w:pPr>
              <w:spacing w:after="0" w:line="240" w:lineRule="auto"/>
              <w:ind w:left="1240" w:hanging="1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Acórdão</w:t>
            </w:r>
          </w:p>
        </w:tc>
        <w:tc>
          <w:tcPr>
            <w:tcW w:w="832" w:type="pct"/>
            <w:shd w:val="clear" w:color="auto" w:fill="D9D9D9"/>
            <w:vAlign w:val="center"/>
          </w:tcPr>
          <w:p w:rsidR="0060545D" w:rsidRPr="004E53C8" w:rsidRDefault="0060545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Recebidas</w:t>
            </w:r>
          </w:p>
        </w:tc>
        <w:tc>
          <w:tcPr>
            <w:tcW w:w="872" w:type="pct"/>
            <w:shd w:val="clear" w:color="auto" w:fill="D9D9D9"/>
            <w:vAlign w:val="center"/>
          </w:tcPr>
          <w:p w:rsidR="0060545D" w:rsidRPr="004E53C8" w:rsidRDefault="0060545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Atendidas</w:t>
            </w:r>
          </w:p>
        </w:tc>
        <w:tc>
          <w:tcPr>
            <w:tcW w:w="959" w:type="pct"/>
            <w:shd w:val="clear" w:color="auto" w:fill="D9D9D9"/>
            <w:vAlign w:val="center"/>
          </w:tcPr>
          <w:p w:rsidR="0060545D" w:rsidRPr="004E53C8" w:rsidRDefault="0060545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 atendimento</w:t>
            </w:r>
          </w:p>
        </w:tc>
        <w:tc>
          <w:tcPr>
            <w:tcW w:w="930" w:type="pct"/>
            <w:shd w:val="clear" w:color="auto" w:fill="D9D9D9"/>
            <w:vAlign w:val="center"/>
          </w:tcPr>
          <w:p w:rsidR="0060545D" w:rsidRPr="004E53C8" w:rsidRDefault="0060545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Não atendidas</w:t>
            </w:r>
          </w:p>
        </w:tc>
      </w:tr>
      <w:tr w:rsidR="0060545D" w:rsidRPr="004E53C8" w:rsidTr="009E1874">
        <w:trPr>
          <w:trHeight w:val="514"/>
          <w:jc w:val="center"/>
        </w:trPr>
        <w:tc>
          <w:tcPr>
            <w:tcW w:w="1407" w:type="pct"/>
            <w:shd w:val="clear" w:color="auto" w:fill="auto"/>
            <w:vAlign w:val="center"/>
            <w:hideMark/>
          </w:tcPr>
          <w:p w:rsidR="0060545D" w:rsidRPr="004E53C8" w:rsidRDefault="00A90AC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Acórdão 456/2016 - Plenário</w:t>
            </w:r>
          </w:p>
        </w:tc>
        <w:tc>
          <w:tcPr>
            <w:tcW w:w="832" w:type="pct"/>
            <w:vAlign w:val="center"/>
          </w:tcPr>
          <w:p w:rsidR="0060545D" w:rsidRPr="004E53C8" w:rsidRDefault="00A90AC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72" w:type="pct"/>
            <w:vAlign w:val="center"/>
          </w:tcPr>
          <w:p w:rsidR="0060545D" w:rsidRPr="004E53C8" w:rsidRDefault="00A90AC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59" w:type="pct"/>
            <w:vAlign w:val="center"/>
          </w:tcPr>
          <w:p w:rsidR="0060545D" w:rsidRPr="004E53C8" w:rsidRDefault="00651012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30" w:type="pct"/>
            <w:vAlign w:val="center"/>
          </w:tcPr>
          <w:p w:rsidR="0060545D" w:rsidRPr="004E53C8" w:rsidRDefault="00651012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60545D" w:rsidRPr="004E53C8" w:rsidTr="009E1874">
        <w:trPr>
          <w:trHeight w:val="819"/>
          <w:jc w:val="center"/>
        </w:trPr>
        <w:tc>
          <w:tcPr>
            <w:tcW w:w="1407" w:type="pct"/>
            <w:shd w:val="clear" w:color="auto" w:fill="F2F2F2" w:themeFill="background1" w:themeFillShade="F2"/>
            <w:vAlign w:val="center"/>
            <w:hideMark/>
          </w:tcPr>
          <w:p w:rsidR="00A90ACD" w:rsidRPr="004E53C8" w:rsidRDefault="00A90ACD" w:rsidP="00A90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Acórdão 3046/2016 – Plenário</w:t>
            </w:r>
          </w:p>
          <w:p w:rsidR="0060545D" w:rsidRPr="004E53C8" w:rsidRDefault="0060545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32" w:type="pct"/>
            <w:shd w:val="clear" w:color="auto" w:fill="F2F2F2" w:themeFill="background1" w:themeFillShade="F2"/>
            <w:vAlign w:val="center"/>
          </w:tcPr>
          <w:p w:rsidR="0060545D" w:rsidRPr="004E53C8" w:rsidRDefault="00A90AC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72" w:type="pct"/>
            <w:shd w:val="clear" w:color="auto" w:fill="F2F2F2" w:themeFill="background1" w:themeFillShade="F2"/>
            <w:vAlign w:val="center"/>
          </w:tcPr>
          <w:p w:rsidR="0060545D" w:rsidRPr="004E53C8" w:rsidRDefault="00A90AC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59" w:type="pct"/>
            <w:shd w:val="clear" w:color="auto" w:fill="F2F2F2" w:themeFill="background1" w:themeFillShade="F2"/>
            <w:vAlign w:val="center"/>
          </w:tcPr>
          <w:p w:rsidR="0060545D" w:rsidRPr="004E53C8" w:rsidRDefault="00A90AC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60545D" w:rsidRPr="004E53C8" w:rsidRDefault="00A90AC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60545D" w:rsidRPr="004E53C8" w:rsidTr="009E1874">
        <w:trPr>
          <w:trHeight w:val="514"/>
          <w:jc w:val="center"/>
        </w:trPr>
        <w:tc>
          <w:tcPr>
            <w:tcW w:w="1407" w:type="pct"/>
            <w:shd w:val="clear" w:color="auto" w:fill="auto"/>
            <w:vAlign w:val="center"/>
          </w:tcPr>
          <w:p w:rsidR="0060545D" w:rsidRPr="004E53C8" w:rsidRDefault="00A90AC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Acórdão 760/2016 - Plenário</w:t>
            </w:r>
          </w:p>
        </w:tc>
        <w:tc>
          <w:tcPr>
            <w:tcW w:w="832" w:type="pct"/>
            <w:vAlign w:val="center"/>
          </w:tcPr>
          <w:p w:rsidR="0060545D" w:rsidRPr="004E53C8" w:rsidRDefault="00651012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72" w:type="pct"/>
            <w:vAlign w:val="center"/>
          </w:tcPr>
          <w:p w:rsidR="0060545D" w:rsidRPr="004E53C8" w:rsidRDefault="00651012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59" w:type="pct"/>
            <w:vAlign w:val="center"/>
          </w:tcPr>
          <w:p w:rsidR="0060545D" w:rsidRPr="004E53C8" w:rsidRDefault="00651012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30" w:type="pct"/>
            <w:vAlign w:val="center"/>
          </w:tcPr>
          <w:p w:rsidR="0060545D" w:rsidRPr="004E53C8" w:rsidRDefault="00651012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60545D" w:rsidRPr="004E53C8" w:rsidTr="009E1874">
        <w:trPr>
          <w:trHeight w:val="514"/>
          <w:jc w:val="center"/>
        </w:trPr>
        <w:tc>
          <w:tcPr>
            <w:tcW w:w="1407" w:type="pct"/>
            <w:shd w:val="clear" w:color="auto" w:fill="auto"/>
            <w:vAlign w:val="center"/>
          </w:tcPr>
          <w:p w:rsidR="0060545D" w:rsidRPr="004E53C8" w:rsidRDefault="00A90AC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Acórdão 3275/2016 – 2ª câmara</w:t>
            </w:r>
          </w:p>
        </w:tc>
        <w:tc>
          <w:tcPr>
            <w:tcW w:w="832" w:type="pct"/>
            <w:vAlign w:val="center"/>
          </w:tcPr>
          <w:p w:rsidR="0060545D" w:rsidRPr="004E53C8" w:rsidRDefault="00651012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72" w:type="pct"/>
            <w:vAlign w:val="center"/>
          </w:tcPr>
          <w:p w:rsidR="0060545D" w:rsidRPr="004E53C8" w:rsidRDefault="00651012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59" w:type="pct"/>
            <w:vAlign w:val="center"/>
          </w:tcPr>
          <w:p w:rsidR="0060545D" w:rsidRPr="004E53C8" w:rsidRDefault="00651012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30" w:type="pct"/>
            <w:vAlign w:val="center"/>
          </w:tcPr>
          <w:p w:rsidR="0060545D" w:rsidRPr="004E53C8" w:rsidRDefault="00651012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A90ACD" w:rsidRPr="004E53C8" w:rsidTr="009E1874">
        <w:trPr>
          <w:trHeight w:val="514"/>
          <w:jc w:val="center"/>
        </w:trPr>
        <w:tc>
          <w:tcPr>
            <w:tcW w:w="1407" w:type="pct"/>
            <w:shd w:val="clear" w:color="auto" w:fill="auto"/>
            <w:vAlign w:val="center"/>
          </w:tcPr>
          <w:p w:rsidR="00A90ACD" w:rsidRPr="004E53C8" w:rsidRDefault="00A90AC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Acórdão 1006/2016 - Plenário</w:t>
            </w:r>
          </w:p>
        </w:tc>
        <w:tc>
          <w:tcPr>
            <w:tcW w:w="832" w:type="pct"/>
            <w:vAlign w:val="center"/>
          </w:tcPr>
          <w:p w:rsidR="00A90ACD" w:rsidRPr="004E53C8" w:rsidRDefault="00A90AC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72" w:type="pct"/>
            <w:vAlign w:val="center"/>
          </w:tcPr>
          <w:p w:rsidR="00A90ACD" w:rsidRPr="004E53C8" w:rsidRDefault="00651012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59" w:type="pct"/>
            <w:vAlign w:val="center"/>
          </w:tcPr>
          <w:p w:rsidR="00A90ACD" w:rsidRPr="004E53C8" w:rsidRDefault="00651012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30" w:type="pct"/>
            <w:vAlign w:val="center"/>
          </w:tcPr>
          <w:p w:rsidR="00A90ACD" w:rsidRPr="004E53C8" w:rsidRDefault="00A90AC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60545D" w:rsidRPr="004E53C8" w:rsidTr="009E1874">
        <w:trPr>
          <w:trHeight w:val="514"/>
          <w:jc w:val="center"/>
        </w:trPr>
        <w:tc>
          <w:tcPr>
            <w:tcW w:w="1407" w:type="pct"/>
            <w:shd w:val="clear" w:color="auto" w:fill="D9D9D9"/>
            <w:vAlign w:val="center"/>
          </w:tcPr>
          <w:p w:rsidR="0060545D" w:rsidRPr="004E53C8" w:rsidRDefault="0060545D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E53C8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2" w:type="pct"/>
            <w:shd w:val="clear" w:color="auto" w:fill="D9D9D9"/>
            <w:vAlign w:val="center"/>
          </w:tcPr>
          <w:p w:rsidR="0060545D" w:rsidRPr="004E53C8" w:rsidRDefault="00651012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872" w:type="pct"/>
            <w:shd w:val="clear" w:color="auto" w:fill="D9D9D9"/>
            <w:vAlign w:val="center"/>
          </w:tcPr>
          <w:p w:rsidR="0060545D" w:rsidRPr="004E53C8" w:rsidRDefault="00651012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59" w:type="pct"/>
            <w:shd w:val="clear" w:color="auto" w:fill="D9D9D9"/>
            <w:vAlign w:val="center"/>
          </w:tcPr>
          <w:p w:rsidR="0060545D" w:rsidRPr="004E53C8" w:rsidRDefault="00651012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30" w:type="pct"/>
            <w:shd w:val="clear" w:color="auto" w:fill="D9D9D9"/>
            <w:vAlign w:val="center"/>
          </w:tcPr>
          <w:p w:rsidR="0060545D" w:rsidRPr="004E53C8" w:rsidRDefault="00651012" w:rsidP="009E1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4E53C8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</w:tbl>
    <w:p w:rsidR="0060545D" w:rsidRPr="004E53C8" w:rsidRDefault="0060545D" w:rsidP="0060545D">
      <w:pPr>
        <w:spacing w:line="276" w:lineRule="auto"/>
        <w:ind w:left="426" w:right="426"/>
        <w:rPr>
          <w:rFonts w:ascii="Arial" w:hAnsi="Arial" w:cs="Arial"/>
          <w:b/>
          <w:sz w:val="20"/>
          <w:szCs w:val="20"/>
        </w:rPr>
      </w:pPr>
      <w:r w:rsidRPr="004E53C8">
        <w:rPr>
          <w:rFonts w:ascii="Arial" w:hAnsi="Arial" w:cs="Arial"/>
          <w:sz w:val="20"/>
          <w:szCs w:val="20"/>
        </w:rPr>
        <w:t xml:space="preserve">Fonte: Portal do TCU / </w:t>
      </w:r>
      <w:r w:rsidR="002D32B3" w:rsidRPr="004E53C8">
        <w:rPr>
          <w:rFonts w:ascii="Arial" w:hAnsi="Arial" w:cs="Arial"/>
          <w:sz w:val="20"/>
          <w:szCs w:val="20"/>
        </w:rPr>
        <w:t>SIPAC</w:t>
      </w:r>
      <w:r w:rsidRPr="004E53C8">
        <w:rPr>
          <w:rFonts w:ascii="Arial" w:hAnsi="Arial" w:cs="Arial"/>
          <w:sz w:val="20"/>
          <w:szCs w:val="20"/>
        </w:rPr>
        <w:t xml:space="preserve"> / Fichas de Controle Interno</w:t>
      </w:r>
      <w:proofErr w:type="gramStart"/>
      <w:r w:rsidRPr="004E53C8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E53C8">
        <w:rPr>
          <w:rFonts w:ascii="Arial" w:hAnsi="Arial" w:cs="Arial"/>
          <w:sz w:val="20"/>
          <w:szCs w:val="20"/>
        </w:rPr>
        <w:t xml:space="preserve">CGCI. </w:t>
      </w:r>
    </w:p>
    <w:p w:rsidR="002D32B3" w:rsidRPr="004E53C8" w:rsidRDefault="002D32B3" w:rsidP="002D32B3">
      <w:pPr>
        <w:ind w:firstLine="708"/>
        <w:rPr>
          <w:rFonts w:ascii="Arial" w:hAnsi="Arial" w:cs="Arial"/>
          <w:szCs w:val="24"/>
        </w:rPr>
      </w:pPr>
      <w:r w:rsidRPr="004E53C8">
        <w:rPr>
          <w:rFonts w:ascii="Arial" w:hAnsi="Arial" w:cs="Arial"/>
          <w:szCs w:val="24"/>
        </w:rPr>
        <w:t>Portanto, das deliberações recebidas o I</w:t>
      </w:r>
      <w:r w:rsidRPr="004E53C8">
        <w:rPr>
          <w:rFonts w:ascii="Arial" w:hAnsi="Arial" w:cs="Arial"/>
          <w:szCs w:val="24"/>
        </w:rPr>
        <w:t>FAM concluiu o exercício de 2016</w:t>
      </w:r>
      <w:r w:rsidRPr="004E53C8">
        <w:rPr>
          <w:rFonts w:ascii="Arial" w:hAnsi="Arial" w:cs="Arial"/>
          <w:szCs w:val="24"/>
        </w:rPr>
        <w:t xml:space="preserve"> com expec</w:t>
      </w:r>
      <w:r w:rsidR="0069175B" w:rsidRPr="004E53C8">
        <w:rPr>
          <w:rFonts w:ascii="Arial" w:hAnsi="Arial" w:cs="Arial"/>
          <w:szCs w:val="24"/>
        </w:rPr>
        <w:t>tativa de ter atendido 80% das determin</w:t>
      </w:r>
      <w:r w:rsidRPr="004E53C8">
        <w:rPr>
          <w:rFonts w:ascii="Arial" w:hAnsi="Arial" w:cs="Arial"/>
          <w:szCs w:val="24"/>
        </w:rPr>
        <w:t>ações, estando com 20% em atendimento (Figura 1)</w:t>
      </w:r>
      <w:r w:rsidR="0069175B" w:rsidRPr="004E53C8">
        <w:rPr>
          <w:rFonts w:ascii="Arial" w:hAnsi="Arial" w:cs="Arial"/>
          <w:szCs w:val="24"/>
        </w:rPr>
        <w:t xml:space="preserve">. Esse 20% refere-se a </w:t>
      </w:r>
      <w:proofErr w:type="gramStart"/>
      <w:r w:rsidR="0069175B" w:rsidRPr="004E53C8">
        <w:rPr>
          <w:rFonts w:ascii="Arial" w:hAnsi="Arial" w:cs="Arial"/>
          <w:szCs w:val="24"/>
        </w:rPr>
        <w:t>1</w:t>
      </w:r>
      <w:proofErr w:type="gramEnd"/>
      <w:r w:rsidR="0069175B" w:rsidRPr="004E53C8">
        <w:rPr>
          <w:rFonts w:ascii="Arial" w:hAnsi="Arial" w:cs="Arial"/>
          <w:szCs w:val="24"/>
        </w:rPr>
        <w:t xml:space="preserve"> (uma) d</w:t>
      </w:r>
      <w:r w:rsidRPr="004E53C8">
        <w:rPr>
          <w:rFonts w:ascii="Arial" w:hAnsi="Arial" w:cs="Arial"/>
          <w:szCs w:val="24"/>
        </w:rPr>
        <w:t>e</w:t>
      </w:r>
      <w:r w:rsidR="0069175B" w:rsidRPr="004E53C8">
        <w:rPr>
          <w:rFonts w:ascii="Arial" w:hAnsi="Arial" w:cs="Arial"/>
          <w:szCs w:val="24"/>
        </w:rPr>
        <w:t xml:space="preserve">terminação </w:t>
      </w:r>
      <w:r w:rsidRPr="004E53C8">
        <w:rPr>
          <w:rFonts w:ascii="Arial" w:hAnsi="Arial" w:cs="Arial"/>
          <w:szCs w:val="24"/>
        </w:rPr>
        <w:t xml:space="preserve">que trata de </w:t>
      </w:r>
      <w:r w:rsidR="0069175B" w:rsidRPr="004E53C8">
        <w:rPr>
          <w:rFonts w:ascii="Arial" w:hAnsi="Arial" w:cs="Arial"/>
          <w:szCs w:val="24"/>
        </w:rPr>
        <w:t xml:space="preserve">acompanhamento por parte da auditoria interna quanto à execução do </w:t>
      </w:r>
      <w:proofErr w:type="spellStart"/>
      <w:r w:rsidR="0069175B" w:rsidRPr="004E53C8">
        <w:rPr>
          <w:rFonts w:ascii="Arial" w:hAnsi="Arial" w:cs="Arial"/>
          <w:szCs w:val="24"/>
        </w:rPr>
        <w:t>Pronatec</w:t>
      </w:r>
      <w:proofErr w:type="spellEnd"/>
      <w:r w:rsidRPr="004E53C8">
        <w:rPr>
          <w:rFonts w:ascii="Arial" w:hAnsi="Arial" w:cs="Arial"/>
          <w:szCs w:val="24"/>
        </w:rPr>
        <w:t>. É válido ressaltar que</w:t>
      </w:r>
      <w:r w:rsidR="0069175B" w:rsidRPr="004E53C8">
        <w:rPr>
          <w:rFonts w:ascii="Arial" w:hAnsi="Arial" w:cs="Arial"/>
          <w:szCs w:val="24"/>
        </w:rPr>
        <w:t xml:space="preserve"> a Audin inseriu no PAINT 2017 a ação </w:t>
      </w:r>
      <w:proofErr w:type="gramStart"/>
      <w:r w:rsidR="0069175B" w:rsidRPr="004E53C8">
        <w:rPr>
          <w:rFonts w:ascii="Arial" w:hAnsi="Arial" w:cs="Arial"/>
          <w:szCs w:val="24"/>
        </w:rPr>
        <w:t xml:space="preserve">“Realizar atividade de controle com vistas a identificar e corrigir situações de sobreposição de carga horária de servidores que atuam no </w:t>
      </w:r>
      <w:proofErr w:type="spellStart"/>
      <w:r w:rsidR="0069175B" w:rsidRPr="004E53C8">
        <w:rPr>
          <w:rFonts w:ascii="Arial" w:hAnsi="Arial" w:cs="Arial"/>
          <w:szCs w:val="24"/>
        </w:rPr>
        <w:t>Pronatec</w:t>
      </w:r>
      <w:proofErr w:type="spellEnd"/>
      <w:r w:rsidR="0069175B" w:rsidRPr="004E53C8">
        <w:rPr>
          <w:rFonts w:ascii="Arial" w:hAnsi="Arial" w:cs="Arial"/>
          <w:szCs w:val="24"/>
        </w:rPr>
        <w:t>, sendo assim, a determinação está sendo tratada.</w:t>
      </w:r>
      <w:proofErr w:type="gramEnd"/>
      <w:r w:rsidR="0069175B" w:rsidRPr="004E53C8">
        <w:rPr>
          <w:rFonts w:ascii="Arial" w:hAnsi="Arial" w:cs="Arial"/>
          <w:szCs w:val="24"/>
        </w:rPr>
        <w:t xml:space="preserve"> </w:t>
      </w:r>
    </w:p>
    <w:p w:rsidR="0060545D" w:rsidRPr="004E53C8" w:rsidRDefault="00BD6EF8" w:rsidP="0060545D">
      <w:pPr>
        <w:pStyle w:val="PargrafodaLista"/>
        <w:spacing w:after="0"/>
        <w:ind w:left="284" w:firstLine="850"/>
        <w:rPr>
          <w:rFonts w:ascii="Arial" w:hAnsi="Arial" w:cs="Arial"/>
          <w:szCs w:val="24"/>
        </w:rPr>
      </w:pPr>
      <w:r w:rsidRPr="004E53C8">
        <w:rPr>
          <w:rFonts w:ascii="Arial" w:hAnsi="Arial" w:cs="Arial"/>
          <w:noProof/>
          <w:lang w:eastAsia="pt-BR"/>
        </w:rPr>
        <w:drawing>
          <wp:inline distT="0" distB="0" distL="0" distR="0" wp14:anchorId="00A3F139" wp14:editId="2C69D680">
            <wp:extent cx="3975652" cy="2743200"/>
            <wp:effectExtent l="0" t="0" r="2540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E53C8" w:rsidRPr="004E53C8" w:rsidRDefault="00BD6EF8" w:rsidP="00BD6EF8">
      <w:pPr>
        <w:pStyle w:val="Legenda"/>
        <w:jc w:val="both"/>
        <w:rPr>
          <w:rFonts w:ascii="Arial" w:hAnsi="Arial" w:cs="Arial"/>
        </w:rPr>
      </w:pPr>
      <w:r w:rsidRPr="004E53C8">
        <w:rPr>
          <w:rFonts w:ascii="Arial" w:hAnsi="Arial" w:cs="Arial"/>
        </w:rPr>
        <w:t xml:space="preserve">Figura </w:t>
      </w:r>
      <w:r w:rsidRPr="004E53C8">
        <w:rPr>
          <w:rFonts w:ascii="Arial" w:hAnsi="Arial" w:cs="Arial"/>
        </w:rPr>
        <w:fldChar w:fldCharType="begin"/>
      </w:r>
      <w:r w:rsidRPr="004E53C8">
        <w:rPr>
          <w:rFonts w:ascii="Arial" w:hAnsi="Arial" w:cs="Arial"/>
        </w:rPr>
        <w:instrText xml:space="preserve"> SEQ Figura \* ARABIC </w:instrText>
      </w:r>
      <w:r w:rsidRPr="004E53C8">
        <w:rPr>
          <w:rFonts w:ascii="Arial" w:hAnsi="Arial" w:cs="Arial"/>
        </w:rPr>
        <w:fldChar w:fldCharType="separate"/>
      </w:r>
      <w:r w:rsidRPr="004E53C8">
        <w:rPr>
          <w:rFonts w:ascii="Arial" w:hAnsi="Arial" w:cs="Arial"/>
          <w:noProof/>
        </w:rPr>
        <w:t>1</w:t>
      </w:r>
      <w:r w:rsidRPr="004E53C8">
        <w:rPr>
          <w:rFonts w:ascii="Arial" w:hAnsi="Arial" w:cs="Arial"/>
          <w:noProof/>
        </w:rPr>
        <w:fldChar w:fldCharType="end"/>
      </w:r>
      <w:r w:rsidRPr="004E53C8">
        <w:rPr>
          <w:rFonts w:ascii="Arial" w:hAnsi="Arial" w:cs="Arial"/>
        </w:rPr>
        <w:t xml:space="preserve"> - Porcentagem de atendimento das Deliberações exarad</w:t>
      </w:r>
      <w:r w:rsidRPr="004E53C8">
        <w:rPr>
          <w:rFonts w:ascii="Arial" w:hAnsi="Arial" w:cs="Arial"/>
        </w:rPr>
        <w:t>as pelo TCU no exercício de 2016</w:t>
      </w:r>
      <w:r w:rsidRPr="004E53C8">
        <w:rPr>
          <w:rFonts w:ascii="Arial" w:hAnsi="Arial" w:cs="Arial"/>
        </w:rPr>
        <w:t>.</w:t>
      </w:r>
    </w:p>
    <w:p w:rsidR="004E53C8" w:rsidRDefault="004E53C8" w:rsidP="004E53C8">
      <w:pPr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Q</w:t>
      </w:r>
      <w:r w:rsidRPr="004E53C8">
        <w:rPr>
          <w:rFonts w:ascii="Arial" w:hAnsi="Arial" w:cs="Arial"/>
          <w:szCs w:val="24"/>
        </w:rPr>
        <w:t>uanto aos Acórdãos decorrentes de julgamento de contas anuais de exercícios anteriores, segue o quadro abai</w:t>
      </w:r>
      <w:r>
        <w:rPr>
          <w:rFonts w:ascii="Arial" w:hAnsi="Arial" w:cs="Arial"/>
          <w:szCs w:val="24"/>
        </w:rPr>
        <w:t>xo com a relação dos que estão pendentes de atendimento: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8"/>
        <w:gridCol w:w="6270"/>
        <w:gridCol w:w="1822"/>
      </w:tblGrid>
      <w:tr w:rsidR="004E53C8" w:rsidRPr="003817CD" w:rsidTr="004E53C8">
        <w:trPr>
          <w:trHeight w:val="23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817CD">
              <w:rPr>
                <w:rFonts w:ascii="Arial" w:hAnsi="Arial" w:cs="Arial"/>
                <w:b/>
                <w:sz w:val="20"/>
              </w:rPr>
              <w:t>A</w:t>
            </w:r>
            <w:r w:rsidRPr="003817CD">
              <w:rPr>
                <w:rFonts w:ascii="Arial" w:hAnsi="Arial" w:cs="Arial"/>
                <w:b/>
                <w:sz w:val="20"/>
              </w:rPr>
              <w:t>córdão 926/2014 – Plenário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E53C8" w:rsidRPr="003817CD" w:rsidTr="004E53C8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3817CD">
              <w:rPr>
                <w:rFonts w:ascii="Arial" w:eastAsia="Times New Roman" w:hAnsi="Arial" w:cs="Arial"/>
                <w:b/>
                <w:bCs/>
                <w:sz w:val="20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3817CD">
              <w:rPr>
                <w:rFonts w:ascii="Arial" w:eastAsia="Times New Roman" w:hAnsi="Arial" w:cs="Arial"/>
                <w:b/>
                <w:sz w:val="20"/>
              </w:rPr>
              <w:t>Resumo Determinação / Recomendação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817CD">
              <w:rPr>
                <w:rFonts w:ascii="Arial" w:hAnsi="Arial" w:cs="Arial"/>
                <w:b/>
                <w:sz w:val="20"/>
              </w:rPr>
              <w:t>Justificativa</w:t>
            </w:r>
          </w:p>
        </w:tc>
      </w:tr>
      <w:tr w:rsidR="004E53C8" w:rsidRPr="003817CD" w:rsidTr="004E53C8">
        <w:trPr>
          <w:trHeight w:val="17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817CD">
              <w:rPr>
                <w:rFonts w:ascii="Arial" w:eastAsia="Times New Roman" w:hAnsi="Arial" w:cs="Arial"/>
                <w:b/>
                <w:bCs/>
                <w:sz w:val="20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817CD">
              <w:rPr>
                <w:rFonts w:ascii="Arial" w:eastAsia="Times New Roman" w:hAnsi="Arial" w:cs="Arial"/>
                <w:sz w:val="20"/>
              </w:rPr>
              <w:t>Com fulcro nos artigos 1º, inciso I, 16, inciso III, alínea “c”, da Lei nº 8.443/1992, julgar irregulares as contas do Sr. João Martins Dias, condenando-o ao pagamento da quantia de R$ 183.295,30 (cento e oitenta e três mil, duzentos e noventa e cinco reais e trinta centavos),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817CD">
              <w:rPr>
                <w:rFonts w:ascii="Arial" w:hAnsi="Arial" w:cs="Arial"/>
                <w:b/>
                <w:sz w:val="20"/>
              </w:rPr>
              <w:t>Não atendida:</w:t>
            </w:r>
          </w:p>
          <w:p w:rsidR="004E53C8" w:rsidRPr="003817CD" w:rsidRDefault="004E53C8" w:rsidP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817CD">
              <w:rPr>
                <w:rFonts w:ascii="Arial" w:hAnsi="Arial" w:cs="Arial"/>
                <w:sz w:val="20"/>
              </w:rPr>
              <w:t xml:space="preserve">O servidor não autorizou o desconto em folha. </w:t>
            </w:r>
          </w:p>
        </w:tc>
      </w:tr>
      <w:tr w:rsidR="004E53C8" w:rsidRPr="003817CD" w:rsidTr="004E53C8">
        <w:trPr>
          <w:trHeight w:val="1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3817CD">
              <w:rPr>
                <w:rFonts w:ascii="Arial" w:eastAsia="Times New Roman" w:hAnsi="Arial" w:cs="Arial"/>
                <w:b/>
                <w:bCs/>
                <w:sz w:val="20"/>
              </w:rPr>
              <w:t>9.2</w:t>
            </w:r>
          </w:p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817CD">
              <w:rPr>
                <w:rFonts w:ascii="Arial" w:eastAsia="Times New Roman" w:hAnsi="Arial" w:cs="Arial"/>
                <w:sz w:val="20"/>
              </w:rPr>
              <w:t xml:space="preserve">Aplicar ao Sr. João Martins Dias e à empresa </w:t>
            </w:r>
            <w:proofErr w:type="spellStart"/>
            <w:r w:rsidRPr="003817CD">
              <w:rPr>
                <w:rFonts w:ascii="Arial" w:eastAsia="Times New Roman" w:hAnsi="Arial" w:cs="Arial"/>
                <w:sz w:val="20"/>
              </w:rPr>
              <w:t>Gad</w:t>
            </w:r>
            <w:proofErr w:type="spellEnd"/>
            <w:r w:rsidRPr="003817CD">
              <w:rPr>
                <w:rFonts w:ascii="Arial" w:eastAsia="Times New Roman" w:hAnsi="Arial" w:cs="Arial"/>
                <w:sz w:val="20"/>
              </w:rPr>
              <w:t xml:space="preserve"> Engenharia e Construção Civil Ltda. a multa prevista no art. 57 da Lei nº 8.443/1992, no valor de R$ 10.000,00 (dez mil reais</w:t>
            </w:r>
            <w:proofErr w:type="gramStart"/>
            <w:r w:rsidRPr="003817CD">
              <w:rPr>
                <w:rFonts w:ascii="Arial" w:eastAsia="Times New Roman" w:hAnsi="Arial" w:cs="Arial"/>
                <w:sz w:val="20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817CD">
              <w:rPr>
                <w:rFonts w:ascii="Arial" w:hAnsi="Arial" w:cs="Arial"/>
                <w:b/>
                <w:sz w:val="20"/>
              </w:rPr>
              <w:t>Não atendida:</w:t>
            </w:r>
          </w:p>
          <w:p w:rsidR="004E53C8" w:rsidRPr="003817CD" w:rsidRDefault="004E53C8" w:rsidP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817CD">
              <w:rPr>
                <w:rFonts w:ascii="Arial" w:hAnsi="Arial" w:cs="Arial"/>
                <w:sz w:val="20"/>
              </w:rPr>
              <w:t xml:space="preserve">O servidor não autorizou o desconto em folha. </w:t>
            </w:r>
          </w:p>
        </w:tc>
      </w:tr>
      <w:tr w:rsidR="004E53C8" w:rsidRPr="003817CD" w:rsidTr="004E53C8">
        <w:trPr>
          <w:trHeight w:val="23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817CD">
              <w:rPr>
                <w:rFonts w:ascii="Arial" w:hAnsi="Arial" w:cs="Arial"/>
                <w:b/>
                <w:sz w:val="20"/>
              </w:rPr>
              <w:t>Acórdão 4207/2014 – Segunda Câmara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E53C8" w:rsidRPr="003817CD" w:rsidTr="004E53C8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3817CD">
              <w:rPr>
                <w:rFonts w:ascii="Arial" w:eastAsia="Times New Roman" w:hAnsi="Arial" w:cs="Arial"/>
                <w:b/>
                <w:bCs/>
                <w:sz w:val="20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3817CD">
              <w:rPr>
                <w:rFonts w:ascii="Arial" w:eastAsia="Times New Roman" w:hAnsi="Arial" w:cs="Arial"/>
                <w:b/>
                <w:sz w:val="20"/>
              </w:rPr>
              <w:t>Resumo Determinação / Recomendação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817CD">
              <w:rPr>
                <w:rFonts w:ascii="Arial" w:hAnsi="Arial" w:cs="Arial"/>
                <w:b/>
                <w:sz w:val="20"/>
              </w:rPr>
              <w:t>Justificativa</w:t>
            </w:r>
          </w:p>
        </w:tc>
      </w:tr>
      <w:tr w:rsidR="004E53C8" w:rsidRPr="003817CD" w:rsidTr="004E53C8">
        <w:trPr>
          <w:trHeight w:val="49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817CD">
              <w:rPr>
                <w:rFonts w:ascii="Arial" w:hAnsi="Arial" w:cs="Arial"/>
                <w:b/>
                <w:sz w:val="20"/>
              </w:rPr>
              <w:t>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817CD">
              <w:rPr>
                <w:rFonts w:ascii="Arial" w:eastAsia="Times New Roman" w:hAnsi="Arial" w:cs="Arial"/>
                <w:sz w:val="20"/>
              </w:rPr>
              <w:t xml:space="preserve">Com fundamento no art. 19 da Lei 8.443/1992, condenar os responsáveis a seguir relacionados ao recolhimento solidário ao Instituto Federal de Educação, Ciência e Tecnologia do Amazonas – </w:t>
            </w:r>
            <w:proofErr w:type="spellStart"/>
            <w:r w:rsidRPr="003817CD">
              <w:rPr>
                <w:rFonts w:ascii="Arial" w:eastAsia="Times New Roman" w:hAnsi="Arial" w:cs="Arial"/>
                <w:sz w:val="20"/>
              </w:rPr>
              <w:t>Ifam</w:t>
            </w:r>
            <w:proofErr w:type="spellEnd"/>
            <w:r w:rsidRPr="003817CD">
              <w:rPr>
                <w:rFonts w:ascii="Arial" w:eastAsia="Times New Roman" w:hAnsi="Arial" w:cs="Arial"/>
                <w:sz w:val="20"/>
              </w:rPr>
              <w:t xml:space="preserve"> dos valores especificados, acrescidos de encargos legais das datas indicadas até a data do pagamento: </w:t>
            </w:r>
            <w:proofErr w:type="gramStart"/>
            <w:r w:rsidRPr="003817CD">
              <w:rPr>
                <w:rFonts w:ascii="Arial" w:eastAsia="Times New Roman" w:hAnsi="Arial" w:cs="Arial"/>
                <w:sz w:val="20"/>
              </w:rPr>
              <w:t>Responsáveis João Martins Dias</w:t>
            </w:r>
            <w:proofErr w:type="gramEnd"/>
            <w:r w:rsidRPr="003817CD">
              <w:rPr>
                <w:rFonts w:ascii="Arial" w:eastAsia="Times New Roman" w:hAnsi="Arial" w:cs="Arial"/>
                <w:sz w:val="20"/>
              </w:rPr>
              <w:t xml:space="preserve">, Nelson Batista do Nascimento, Juarez Alves </w:t>
            </w:r>
            <w:proofErr w:type="spellStart"/>
            <w:r w:rsidRPr="003817CD">
              <w:rPr>
                <w:rFonts w:ascii="Arial" w:eastAsia="Times New Roman" w:hAnsi="Arial" w:cs="Arial"/>
                <w:sz w:val="20"/>
              </w:rPr>
              <w:t>Ehm</w:t>
            </w:r>
            <w:proofErr w:type="spellEnd"/>
            <w:r w:rsidRPr="003817CD">
              <w:rPr>
                <w:rFonts w:ascii="Arial" w:eastAsia="Times New Roman" w:hAnsi="Arial" w:cs="Arial"/>
                <w:sz w:val="20"/>
              </w:rPr>
              <w:t xml:space="preserve"> e </w:t>
            </w:r>
            <w:proofErr w:type="spellStart"/>
            <w:r w:rsidRPr="003817CD">
              <w:rPr>
                <w:rFonts w:ascii="Arial" w:eastAsia="Times New Roman" w:hAnsi="Arial" w:cs="Arial"/>
                <w:sz w:val="20"/>
              </w:rPr>
              <w:t>Elquimar</w:t>
            </w:r>
            <w:proofErr w:type="spellEnd"/>
            <w:r w:rsidRPr="003817CD">
              <w:rPr>
                <w:rFonts w:ascii="Arial" w:eastAsia="Times New Roman" w:hAnsi="Arial" w:cs="Arial"/>
                <w:sz w:val="20"/>
              </w:rPr>
              <w:t xml:space="preserve"> de Nair Fialho - ME 6.291,50 25/11/2009 João Martins Dias, Nelson Batista do Nascimento, Juarez Alves </w:t>
            </w:r>
            <w:proofErr w:type="spellStart"/>
            <w:r w:rsidRPr="003817CD">
              <w:rPr>
                <w:rFonts w:ascii="Arial" w:eastAsia="Times New Roman" w:hAnsi="Arial" w:cs="Arial"/>
                <w:sz w:val="20"/>
              </w:rPr>
              <w:t>Ehm</w:t>
            </w:r>
            <w:proofErr w:type="spellEnd"/>
            <w:r w:rsidRPr="003817CD">
              <w:rPr>
                <w:rFonts w:ascii="Arial" w:eastAsia="Times New Roman" w:hAnsi="Arial" w:cs="Arial"/>
                <w:sz w:val="20"/>
              </w:rPr>
              <w:t xml:space="preserve"> e </w:t>
            </w:r>
            <w:proofErr w:type="spellStart"/>
            <w:r w:rsidRPr="003817CD">
              <w:rPr>
                <w:rFonts w:ascii="Arial" w:eastAsia="Times New Roman" w:hAnsi="Arial" w:cs="Arial"/>
                <w:sz w:val="20"/>
              </w:rPr>
              <w:t>Elquimar</w:t>
            </w:r>
            <w:proofErr w:type="spellEnd"/>
            <w:r w:rsidRPr="003817CD">
              <w:rPr>
                <w:rFonts w:ascii="Arial" w:eastAsia="Times New Roman" w:hAnsi="Arial" w:cs="Arial"/>
                <w:sz w:val="20"/>
              </w:rPr>
              <w:t xml:space="preserve"> de Nair Fialho - ME 7.200,00 06/07/2009 João Martins Dias, Nelson Batista do Nascimento e </w:t>
            </w:r>
            <w:proofErr w:type="spellStart"/>
            <w:r w:rsidRPr="003817CD">
              <w:rPr>
                <w:rFonts w:ascii="Arial" w:eastAsia="Times New Roman" w:hAnsi="Arial" w:cs="Arial"/>
                <w:sz w:val="20"/>
              </w:rPr>
              <w:t>Elquimar</w:t>
            </w:r>
            <w:proofErr w:type="spellEnd"/>
            <w:r w:rsidRPr="003817CD">
              <w:rPr>
                <w:rFonts w:ascii="Arial" w:eastAsia="Times New Roman" w:hAnsi="Arial" w:cs="Arial"/>
                <w:sz w:val="20"/>
              </w:rPr>
              <w:t xml:space="preserve"> de Nair Fialho - ME 7.640,00 26/09/2009 João Martins Dias, Nelson Batista do Nascimento e </w:t>
            </w:r>
            <w:proofErr w:type="spellStart"/>
            <w:r w:rsidRPr="003817CD">
              <w:rPr>
                <w:rFonts w:ascii="Arial" w:eastAsia="Times New Roman" w:hAnsi="Arial" w:cs="Arial"/>
                <w:sz w:val="20"/>
              </w:rPr>
              <w:t>Elquimar</w:t>
            </w:r>
            <w:proofErr w:type="spellEnd"/>
            <w:r w:rsidRPr="003817CD">
              <w:rPr>
                <w:rFonts w:ascii="Arial" w:eastAsia="Times New Roman" w:hAnsi="Arial" w:cs="Arial"/>
                <w:sz w:val="20"/>
              </w:rPr>
              <w:t xml:space="preserve"> de Nair Fialho - ME 2.100,00 05/08/2009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817CD">
              <w:rPr>
                <w:rFonts w:ascii="Arial" w:hAnsi="Arial" w:cs="Arial"/>
                <w:b/>
                <w:sz w:val="20"/>
              </w:rPr>
              <w:t>Não atendida</w:t>
            </w:r>
            <w:r w:rsidRPr="003817CD">
              <w:rPr>
                <w:rFonts w:ascii="Arial" w:hAnsi="Arial" w:cs="Arial"/>
                <w:b/>
                <w:sz w:val="20"/>
              </w:rPr>
              <w:t>:</w:t>
            </w:r>
          </w:p>
          <w:p w:rsidR="004E53C8" w:rsidRPr="003817CD" w:rsidRDefault="004E53C8" w:rsidP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817CD">
              <w:rPr>
                <w:rFonts w:ascii="Arial" w:hAnsi="Arial" w:cs="Arial"/>
                <w:sz w:val="20"/>
              </w:rPr>
              <w:t xml:space="preserve">O servidor não autorizou o desconto em folha. </w:t>
            </w:r>
          </w:p>
        </w:tc>
      </w:tr>
      <w:tr w:rsidR="004E53C8" w:rsidRPr="003817CD" w:rsidTr="004E53C8">
        <w:trPr>
          <w:trHeight w:val="3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817CD">
              <w:rPr>
                <w:rFonts w:ascii="Arial" w:hAnsi="Arial" w:cs="Arial"/>
                <w:b/>
                <w:sz w:val="20"/>
              </w:rPr>
              <w:t>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3817CD">
              <w:rPr>
                <w:rFonts w:ascii="Arial" w:eastAsia="Times New Roman" w:hAnsi="Arial" w:cs="Arial"/>
                <w:sz w:val="20"/>
              </w:rPr>
              <w:t xml:space="preserve">Nos termos do art. 57 da Lei 8.443/1992, </w:t>
            </w:r>
            <w:proofErr w:type="gramStart"/>
            <w:r w:rsidRPr="003817CD">
              <w:rPr>
                <w:rFonts w:ascii="Arial" w:eastAsia="Times New Roman" w:hAnsi="Arial" w:cs="Arial"/>
                <w:sz w:val="20"/>
              </w:rPr>
              <w:t>aplicar-lhes</w:t>
            </w:r>
            <w:proofErr w:type="gramEnd"/>
            <w:r w:rsidRPr="003817CD">
              <w:rPr>
                <w:rFonts w:ascii="Arial" w:eastAsia="Times New Roman" w:hAnsi="Arial" w:cs="Arial"/>
                <w:sz w:val="20"/>
              </w:rPr>
              <w:t xml:space="preserve"> multas individuais nos valores a seguir especificados, a serem recolhidas ao Tesouro Nacional, com incidência de encargos legais, calculados da data deste acórdão até a data do pagamento, se este for efetuado após o vencimento do prazo abaixo estipulado: </w:t>
            </w:r>
          </w:p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3817CD">
              <w:rPr>
                <w:rFonts w:ascii="Arial" w:eastAsia="Times New Roman" w:hAnsi="Arial" w:cs="Arial"/>
                <w:sz w:val="20"/>
              </w:rPr>
              <w:t xml:space="preserve">9.11.1. João Martins Dias: R$ 15.000,00 (quinze mil reais); </w:t>
            </w:r>
          </w:p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3817CD">
              <w:rPr>
                <w:rFonts w:ascii="Arial" w:eastAsia="Times New Roman" w:hAnsi="Arial" w:cs="Arial"/>
                <w:sz w:val="20"/>
              </w:rPr>
              <w:t xml:space="preserve">9.11.2. Nelson Batista do Nascimento: R$ 15.000,00 (quinze mil reais); </w:t>
            </w:r>
          </w:p>
          <w:p w:rsidR="004E53C8" w:rsidRPr="003817CD" w:rsidRDefault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817CD">
              <w:rPr>
                <w:rFonts w:ascii="Arial" w:eastAsia="Times New Roman" w:hAnsi="Arial" w:cs="Arial"/>
                <w:sz w:val="20"/>
              </w:rPr>
              <w:t xml:space="preserve">9.11.3. Juarez Alves </w:t>
            </w:r>
            <w:proofErr w:type="spellStart"/>
            <w:r w:rsidRPr="003817CD">
              <w:rPr>
                <w:rFonts w:ascii="Arial" w:eastAsia="Times New Roman" w:hAnsi="Arial" w:cs="Arial"/>
                <w:sz w:val="20"/>
              </w:rPr>
              <w:t>Ehm</w:t>
            </w:r>
            <w:proofErr w:type="spellEnd"/>
            <w:r w:rsidRPr="003817CD">
              <w:rPr>
                <w:rFonts w:ascii="Arial" w:eastAsia="Times New Roman" w:hAnsi="Arial" w:cs="Arial"/>
                <w:sz w:val="20"/>
              </w:rPr>
              <w:t>: R$ 10.000,00 (dez mil reais)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8" w:rsidRPr="003817CD" w:rsidRDefault="004E53C8" w:rsidP="004E53C8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817CD">
              <w:rPr>
                <w:rFonts w:ascii="Arial" w:hAnsi="Arial" w:cs="Arial"/>
                <w:b/>
                <w:sz w:val="20"/>
              </w:rPr>
              <w:t>Não atendida:</w:t>
            </w:r>
          </w:p>
          <w:p w:rsidR="004E53C8" w:rsidRPr="003817CD" w:rsidRDefault="004E53C8" w:rsidP="004E53C8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817CD">
              <w:rPr>
                <w:rFonts w:ascii="Arial" w:hAnsi="Arial" w:cs="Arial"/>
                <w:sz w:val="20"/>
              </w:rPr>
              <w:t>O servidor não autorizou o desconto em folha.</w:t>
            </w:r>
          </w:p>
        </w:tc>
      </w:tr>
    </w:tbl>
    <w:p w:rsidR="00BD6EF8" w:rsidRPr="004E53C8" w:rsidRDefault="00BD6EF8" w:rsidP="00BD6EF8">
      <w:pPr>
        <w:pStyle w:val="Legenda"/>
        <w:jc w:val="both"/>
        <w:rPr>
          <w:rFonts w:ascii="Arial" w:hAnsi="Arial" w:cs="Arial"/>
          <w:b w:val="0"/>
          <w:sz w:val="24"/>
          <w:szCs w:val="24"/>
        </w:rPr>
      </w:pPr>
    </w:p>
    <w:p w:rsidR="004E53C8" w:rsidRDefault="004E53C8" w:rsidP="004E53C8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Quanto às formas de tratamento das deliberações, o IFAM possui instâncias de acompanhamento e monitoramento das demandas do TCU, quais sejam a Auditoria Interna (AUDIN) e a Coordenação de Governança e Controle Interno (CGCI). As formas de acompanhamento se deram </w:t>
      </w:r>
      <w:r>
        <w:rPr>
          <w:rFonts w:ascii="Arial" w:hAnsi="Arial" w:cs="Arial"/>
          <w:szCs w:val="24"/>
        </w:rPr>
        <w:t xml:space="preserve">por meio de </w:t>
      </w:r>
      <w:r>
        <w:rPr>
          <w:rFonts w:ascii="Arial" w:hAnsi="Arial" w:cs="Arial"/>
          <w:szCs w:val="24"/>
        </w:rPr>
        <w:t>Fichas de Controle,</w:t>
      </w:r>
      <w:r>
        <w:rPr>
          <w:rFonts w:ascii="Arial" w:hAnsi="Arial" w:cs="Arial"/>
          <w:szCs w:val="24"/>
        </w:rPr>
        <w:t xml:space="preserve"> processos </w:t>
      </w:r>
      <w:proofErr w:type="spellStart"/>
      <w:r>
        <w:rPr>
          <w:rFonts w:ascii="Arial" w:hAnsi="Arial" w:cs="Arial"/>
          <w:szCs w:val="24"/>
        </w:rPr>
        <w:t>vistuais</w:t>
      </w:r>
      <w:proofErr w:type="spellEnd"/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e-mail, realização de reuniões. </w:t>
      </w:r>
    </w:p>
    <w:p w:rsidR="004E53C8" w:rsidRDefault="004E53C8" w:rsidP="004E53C8">
      <w:pPr>
        <w:pStyle w:val="PargrafodaLista"/>
        <w:ind w:left="0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demandas do TCU foram encaminhadas primeiramente ao Gabinete da Reitoria do IFAM, para ciência, e em seguida encaminhadas à AUDIN às devidas orientações e monitoramento dos prazos externos.</w:t>
      </w:r>
    </w:p>
    <w:p w:rsidR="004E53C8" w:rsidRDefault="004E53C8" w:rsidP="004E53C8">
      <w:pPr>
        <w:pStyle w:val="PargrafodaLista"/>
        <w:ind w:left="0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AUDIN realizou a leitura e filtragem do documento e </w:t>
      </w:r>
      <w:r>
        <w:rPr>
          <w:rFonts w:ascii="Arial" w:hAnsi="Arial" w:cs="Arial"/>
          <w:szCs w:val="24"/>
        </w:rPr>
        <w:t xml:space="preserve">enviou </w:t>
      </w:r>
      <w:r>
        <w:rPr>
          <w:rFonts w:ascii="Arial" w:hAnsi="Arial" w:cs="Arial"/>
          <w:szCs w:val="24"/>
        </w:rPr>
        <w:t>as</w:t>
      </w:r>
      <w:r>
        <w:rPr>
          <w:rFonts w:ascii="Arial" w:hAnsi="Arial" w:cs="Arial"/>
          <w:szCs w:val="24"/>
        </w:rPr>
        <w:t xml:space="preserve"> orientações, via sistema informatizado, </w:t>
      </w:r>
      <w:r>
        <w:rPr>
          <w:rFonts w:ascii="Arial" w:hAnsi="Arial" w:cs="Arial"/>
          <w:szCs w:val="24"/>
        </w:rPr>
        <w:t xml:space="preserve">à CGCI que é órgão competente para tratar de cada demanda junto aos setores responsáveis pelas providências e pelo controle dos prazos internos.  </w:t>
      </w:r>
    </w:p>
    <w:p w:rsidR="004E53C8" w:rsidRDefault="004E53C8" w:rsidP="004E53C8">
      <w:pPr>
        <w:pStyle w:val="PargrafodaLista"/>
        <w:ind w:left="0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CGCI recebeu as demandas, em seguida realizou reuniões juntamente com a Auditoria Interna e com </w:t>
      </w:r>
      <w:bookmarkStart w:id="4" w:name="_GoBack"/>
      <w:bookmarkEnd w:id="4"/>
      <w:r>
        <w:rPr>
          <w:rFonts w:ascii="Arial" w:hAnsi="Arial" w:cs="Arial"/>
          <w:szCs w:val="24"/>
        </w:rPr>
        <w:t xml:space="preserve">o setor responsável pela execução das providências. Após a reunião, a CGCI confeccionou </w:t>
      </w:r>
      <w:proofErr w:type="gramStart"/>
      <w:r>
        <w:rPr>
          <w:rFonts w:ascii="Arial" w:hAnsi="Arial" w:cs="Arial"/>
          <w:szCs w:val="24"/>
        </w:rPr>
        <w:t>memorandos</w:t>
      </w:r>
      <w:proofErr w:type="gramEnd"/>
      <w:r>
        <w:rPr>
          <w:rFonts w:ascii="Arial" w:hAnsi="Arial" w:cs="Arial"/>
          <w:szCs w:val="24"/>
        </w:rPr>
        <w:t xml:space="preserve"> ou e-mails ao setor responsável para que tomasse as devidas medidas em relação a demanda. Também monitorou os prazos internos.</w:t>
      </w:r>
    </w:p>
    <w:p w:rsidR="004E53C8" w:rsidRDefault="004E53C8" w:rsidP="004E53C8">
      <w:pPr>
        <w:pStyle w:val="PargrafodaLista"/>
        <w:ind w:left="0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Além disso, para cada processo de tomadas de contas recebido há uma pasta com o número do acórdão e o número do processo de tomada de contas que contém o Acórdão e os documentos pertinentes às demandas.</w:t>
      </w:r>
    </w:p>
    <w:p w:rsidR="004E53C8" w:rsidRDefault="004E53C8" w:rsidP="004E53C8">
      <w:pPr>
        <w:pStyle w:val="PargrafodaLista"/>
        <w:ind w:left="0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Por fim, ao receber a resposta da demanda, a CGCI realizou a revisão </w:t>
      </w:r>
      <w:proofErr w:type="gramStart"/>
      <w:r>
        <w:rPr>
          <w:rFonts w:ascii="Arial" w:hAnsi="Arial" w:cs="Arial"/>
          <w:szCs w:val="24"/>
        </w:rPr>
        <w:t>1</w:t>
      </w:r>
      <w:proofErr w:type="gramEnd"/>
      <w:r>
        <w:rPr>
          <w:rFonts w:ascii="Arial" w:hAnsi="Arial" w:cs="Arial"/>
          <w:szCs w:val="24"/>
        </w:rPr>
        <w:t xml:space="preserve"> e caso houvesse alguma impropriedade solicitava a correção do setor responsável. A partir desse material consolidado</w:t>
      </w:r>
      <w:r w:rsidR="003817CD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 CGCI retornou o material à AUDIN </w:t>
      </w:r>
      <w:r w:rsidR="003817CD">
        <w:rPr>
          <w:rFonts w:ascii="Arial" w:hAnsi="Arial" w:cs="Arial"/>
          <w:szCs w:val="24"/>
        </w:rPr>
        <w:t xml:space="preserve">para revisão </w:t>
      </w:r>
      <w:proofErr w:type="gramStart"/>
      <w:r w:rsidR="003817CD">
        <w:rPr>
          <w:rFonts w:ascii="Arial" w:hAnsi="Arial" w:cs="Arial"/>
          <w:szCs w:val="24"/>
        </w:rPr>
        <w:t>2</w:t>
      </w:r>
      <w:proofErr w:type="gramEnd"/>
      <w:r w:rsidR="003817CD">
        <w:rPr>
          <w:rFonts w:ascii="Arial" w:hAnsi="Arial" w:cs="Arial"/>
          <w:szCs w:val="24"/>
        </w:rPr>
        <w:t xml:space="preserve"> e em seguida as tratativas seguiam para</w:t>
      </w:r>
      <w:r>
        <w:rPr>
          <w:rFonts w:ascii="Arial" w:hAnsi="Arial" w:cs="Arial"/>
          <w:szCs w:val="24"/>
        </w:rPr>
        <w:t xml:space="preserve"> consolidação dos documentos </w:t>
      </w:r>
      <w:r w:rsidR="003817CD">
        <w:rPr>
          <w:rFonts w:ascii="Arial" w:hAnsi="Arial" w:cs="Arial"/>
          <w:szCs w:val="24"/>
        </w:rPr>
        <w:t>junto ao</w:t>
      </w:r>
      <w:r>
        <w:rPr>
          <w:rFonts w:ascii="Arial" w:hAnsi="Arial" w:cs="Arial"/>
          <w:szCs w:val="24"/>
        </w:rPr>
        <w:t xml:space="preserve"> Gabinete da Reitoria</w:t>
      </w:r>
      <w:r w:rsidR="003817CD">
        <w:rPr>
          <w:rFonts w:ascii="Arial" w:hAnsi="Arial" w:cs="Arial"/>
          <w:szCs w:val="24"/>
        </w:rPr>
        <w:t xml:space="preserve"> e</w:t>
      </w:r>
      <w:r>
        <w:rPr>
          <w:rFonts w:ascii="Arial" w:hAnsi="Arial" w:cs="Arial"/>
          <w:szCs w:val="24"/>
        </w:rPr>
        <w:t xml:space="preserve"> Diretoria Executiva</w:t>
      </w:r>
      <w:r w:rsidR="003817CD">
        <w:rPr>
          <w:rFonts w:ascii="Arial" w:hAnsi="Arial" w:cs="Arial"/>
          <w:szCs w:val="24"/>
        </w:rPr>
        <w:t xml:space="preserve">, instâncias finais responsáveis pela validação das informações e elaboração do </w:t>
      </w:r>
      <w:r>
        <w:rPr>
          <w:rFonts w:ascii="Arial" w:hAnsi="Arial" w:cs="Arial"/>
          <w:szCs w:val="24"/>
        </w:rPr>
        <w:t>Ofício ao TCU</w:t>
      </w:r>
      <w:r w:rsidR="003817CD">
        <w:rPr>
          <w:rFonts w:ascii="Arial" w:hAnsi="Arial" w:cs="Arial"/>
          <w:szCs w:val="24"/>
        </w:rPr>
        <w:t>.</w:t>
      </w:r>
    </w:p>
    <w:p w:rsidR="0060545D" w:rsidRPr="004E53C8" w:rsidRDefault="0060545D" w:rsidP="0060545D">
      <w:pPr>
        <w:pStyle w:val="Legenda"/>
        <w:keepNext/>
        <w:rPr>
          <w:rFonts w:ascii="Arial" w:hAnsi="Arial" w:cs="Arial"/>
        </w:rPr>
      </w:pPr>
    </w:p>
    <w:p w:rsidR="0060545D" w:rsidRPr="004E53C8" w:rsidRDefault="0060545D" w:rsidP="0060545D">
      <w:pPr>
        <w:pStyle w:val="PargrafodaLista"/>
        <w:spacing w:after="0"/>
        <w:ind w:left="993"/>
        <w:outlineLvl w:val="1"/>
        <w:rPr>
          <w:rFonts w:ascii="Arial" w:hAnsi="Arial" w:cs="Arial"/>
          <w:color w:val="000000"/>
          <w:spacing w:val="-7"/>
        </w:rPr>
      </w:pPr>
    </w:p>
    <w:p w:rsidR="0060545D" w:rsidRPr="004E53C8" w:rsidRDefault="0060545D" w:rsidP="0060545D">
      <w:pPr>
        <w:spacing w:after="160" w:line="259" w:lineRule="auto"/>
        <w:jc w:val="left"/>
        <w:rPr>
          <w:rFonts w:ascii="Arial" w:hAnsi="Arial" w:cs="Arial"/>
          <w:szCs w:val="24"/>
        </w:rPr>
      </w:pPr>
      <w:r w:rsidRPr="004E53C8">
        <w:rPr>
          <w:rFonts w:ascii="Arial" w:hAnsi="Arial" w:cs="Arial"/>
          <w:szCs w:val="24"/>
        </w:rPr>
        <w:br w:type="page"/>
      </w:r>
    </w:p>
    <w:p w:rsidR="0060545D" w:rsidRPr="004E53C8" w:rsidRDefault="0060545D" w:rsidP="0060545D">
      <w:pPr>
        <w:pStyle w:val="PargrafodaLista"/>
        <w:tabs>
          <w:tab w:val="left" w:pos="1647"/>
        </w:tabs>
        <w:spacing w:after="0"/>
        <w:ind w:left="284" w:firstLine="850"/>
        <w:rPr>
          <w:rFonts w:ascii="Arial" w:hAnsi="Arial" w:cs="Arial"/>
          <w:color w:val="000000"/>
          <w:spacing w:val="-7"/>
        </w:rPr>
      </w:pPr>
    </w:p>
    <w:p w:rsidR="0060545D" w:rsidRPr="004E53C8" w:rsidRDefault="0060545D" w:rsidP="0060545D">
      <w:pPr>
        <w:pStyle w:val="PargrafodaLista"/>
        <w:numPr>
          <w:ilvl w:val="1"/>
          <w:numId w:val="1"/>
        </w:numPr>
        <w:spacing w:after="0"/>
        <w:outlineLvl w:val="1"/>
        <w:rPr>
          <w:rFonts w:ascii="Arial" w:hAnsi="Arial" w:cs="Arial"/>
          <w:b/>
          <w:bCs/>
          <w:szCs w:val="24"/>
        </w:rPr>
      </w:pPr>
      <w:bookmarkStart w:id="5" w:name="_Toc470002480"/>
      <w:r w:rsidRPr="004E53C8">
        <w:rPr>
          <w:rFonts w:ascii="Arial" w:hAnsi="Arial" w:cs="Arial"/>
          <w:b/>
          <w:bCs/>
          <w:szCs w:val="24"/>
        </w:rPr>
        <w:t>Tratamento de recomendações do Órgão de Controle Interno</w:t>
      </w:r>
      <w:bookmarkEnd w:id="5"/>
    </w:p>
    <w:p w:rsidR="007F7FB1" w:rsidRPr="004E53C8" w:rsidRDefault="007F7FB1" w:rsidP="007F7FB1">
      <w:pPr>
        <w:rPr>
          <w:rFonts w:ascii="Arial" w:hAnsi="Arial" w:cs="Arial"/>
          <w:szCs w:val="24"/>
        </w:rPr>
      </w:pPr>
    </w:p>
    <w:p w:rsidR="007F7FB1" w:rsidRPr="004E53C8" w:rsidRDefault="007F7FB1" w:rsidP="007F7FB1">
      <w:pPr>
        <w:ind w:firstLine="708"/>
        <w:rPr>
          <w:rFonts w:ascii="Arial" w:hAnsi="Arial" w:cs="Arial"/>
          <w:szCs w:val="24"/>
        </w:rPr>
      </w:pPr>
      <w:r w:rsidRPr="004E53C8">
        <w:rPr>
          <w:rFonts w:ascii="Arial" w:hAnsi="Arial" w:cs="Arial"/>
          <w:szCs w:val="24"/>
        </w:rPr>
        <w:t xml:space="preserve">No exercício de 2016, a CGU enviou ao IFAM o Relatório 20161454/2016 – CGU que trata do resultado da Auditoria Anual de Contas que foi encaminhado à Gestão em dezembro de 2016 e está sendo tratado pelo sistema de controle interno do IFAM. </w:t>
      </w:r>
    </w:p>
    <w:p w:rsidR="005B57A9" w:rsidRPr="004E53C8" w:rsidRDefault="007F7FB1" w:rsidP="007F7FB1">
      <w:pPr>
        <w:ind w:firstLine="708"/>
        <w:rPr>
          <w:rFonts w:ascii="Arial" w:hAnsi="Arial" w:cs="Arial"/>
          <w:szCs w:val="24"/>
        </w:rPr>
      </w:pPr>
      <w:r w:rsidRPr="004E53C8">
        <w:rPr>
          <w:rFonts w:ascii="Arial" w:hAnsi="Arial" w:cs="Arial"/>
          <w:szCs w:val="24"/>
        </w:rPr>
        <w:t>O extrato abaixo reflete o tratamento do relatório em questão, no qual foram apresentadas 06 recomendações, das quais 01 a gestão considera como atendida e 05 estão em fase de atendimento.</w:t>
      </w:r>
      <w:r w:rsidR="00112E9A" w:rsidRPr="004E53C8">
        <w:rPr>
          <w:rFonts w:ascii="Arial" w:hAnsi="Arial" w:cs="Arial"/>
          <w:szCs w:val="24"/>
        </w:rPr>
        <w:t xml:space="preserve"> Ressalta-se que as resposta foram encaminhadas à CGU e estão sendo analisadas para posterior validação do estágio de atendimento.</w:t>
      </w:r>
    </w:p>
    <w:p w:rsidR="005B57A9" w:rsidRPr="004E53C8" w:rsidRDefault="005B57A9" w:rsidP="00725B70">
      <w:pPr>
        <w:rPr>
          <w:rFonts w:ascii="Arial" w:hAnsi="Arial" w:cs="Arial"/>
          <w:szCs w:val="24"/>
        </w:rPr>
      </w:pPr>
      <w:r w:rsidRPr="004E53C8">
        <w:rPr>
          <w:rFonts w:ascii="Arial" w:hAnsi="Arial" w:cs="Arial"/>
          <w:noProof/>
          <w:lang w:eastAsia="pt-BR"/>
        </w:rPr>
        <w:drawing>
          <wp:inline distT="0" distB="0" distL="0" distR="0" wp14:anchorId="7356A837" wp14:editId="5E8048C4">
            <wp:extent cx="5760000" cy="5120651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12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B70" w:rsidRPr="004E53C8">
        <w:rPr>
          <w:rFonts w:ascii="Arial" w:hAnsi="Arial" w:cs="Arial"/>
          <w:szCs w:val="24"/>
        </w:rPr>
        <w:t xml:space="preserve">        </w:t>
      </w:r>
      <w:r w:rsidRPr="004E53C8">
        <w:rPr>
          <w:rFonts w:ascii="Arial" w:hAnsi="Arial" w:cs="Arial"/>
          <w:szCs w:val="24"/>
        </w:rPr>
        <w:t>Fonte: SIPAC</w:t>
      </w:r>
    </w:p>
    <w:p w:rsidR="005B57A9" w:rsidRPr="004E53C8" w:rsidRDefault="00F83431" w:rsidP="00B16A98">
      <w:pPr>
        <w:ind w:firstLine="708"/>
        <w:rPr>
          <w:rFonts w:ascii="Arial" w:hAnsi="Arial" w:cs="Arial"/>
          <w:szCs w:val="24"/>
        </w:rPr>
      </w:pPr>
      <w:r w:rsidRPr="004E53C8">
        <w:rPr>
          <w:rFonts w:ascii="Arial" w:hAnsi="Arial" w:cs="Arial"/>
          <w:szCs w:val="24"/>
        </w:rPr>
        <w:lastRenderedPageBreak/>
        <w:t>Considerando o Relatório 2016</w:t>
      </w:r>
      <w:r w:rsidR="00260D48" w:rsidRPr="004E53C8">
        <w:rPr>
          <w:rFonts w:ascii="Arial" w:hAnsi="Arial" w:cs="Arial"/>
          <w:szCs w:val="24"/>
        </w:rPr>
        <w:t>01454/2016-CGU</w:t>
      </w:r>
      <w:r w:rsidRPr="004E53C8">
        <w:rPr>
          <w:rFonts w:ascii="Arial" w:hAnsi="Arial" w:cs="Arial"/>
          <w:szCs w:val="24"/>
        </w:rPr>
        <w:t xml:space="preserve"> destacam-se as recomendações referentes à adoção dos procedimentos que promovam a verificação de acúmulo indevido de cargos no IFAM, visto que impactara</w:t>
      </w:r>
      <w:r w:rsidR="00260D48" w:rsidRPr="004E53C8">
        <w:rPr>
          <w:rFonts w:ascii="Arial" w:hAnsi="Arial" w:cs="Arial"/>
          <w:szCs w:val="24"/>
        </w:rPr>
        <w:t>m de maneira positiva na concretização de melhorias na atuação do controle interno da Diretoria de Gestão de Pessoas do IFAM.</w:t>
      </w:r>
    </w:p>
    <w:p w:rsidR="00B16A98" w:rsidRPr="004E53C8" w:rsidRDefault="005B57A9" w:rsidP="00B16A98">
      <w:pPr>
        <w:ind w:firstLine="708"/>
        <w:rPr>
          <w:rFonts w:ascii="Arial" w:hAnsi="Arial" w:cs="Arial"/>
          <w:szCs w:val="24"/>
        </w:rPr>
      </w:pPr>
      <w:r w:rsidRPr="004E53C8">
        <w:rPr>
          <w:rFonts w:ascii="Arial" w:hAnsi="Arial" w:cs="Arial"/>
          <w:szCs w:val="24"/>
        </w:rPr>
        <w:t xml:space="preserve">Também houve o tratamento dos encaminhamentos de recomendações </w:t>
      </w:r>
      <w:r w:rsidR="000B42E2" w:rsidRPr="004E53C8">
        <w:rPr>
          <w:rFonts w:ascii="Arial" w:hAnsi="Arial" w:cs="Arial"/>
          <w:szCs w:val="24"/>
        </w:rPr>
        <w:t>referentes aos</w:t>
      </w:r>
      <w:r w:rsidRPr="004E53C8">
        <w:rPr>
          <w:rFonts w:ascii="Arial" w:hAnsi="Arial" w:cs="Arial"/>
          <w:szCs w:val="24"/>
        </w:rPr>
        <w:t xml:space="preserve"> exercícios </w:t>
      </w:r>
      <w:r w:rsidR="000B42E2" w:rsidRPr="004E53C8">
        <w:rPr>
          <w:rFonts w:ascii="Arial" w:hAnsi="Arial" w:cs="Arial"/>
          <w:szCs w:val="24"/>
        </w:rPr>
        <w:t>2008, 2009, 2010, 2011 e 2013</w:t>
      </w:r>
      <w:r w:rsidRPr="004E53C8">
        <w:rPr>
          <w:rFonts w:ascii="Arial" w:hAnsi="Arial" w:cs="Arial"/>
          <w:szCs w:val="24"/>
        </w:rPr>
        <w:t xml:space="preserve">, os quais foram </w:t>
      </w:r>
      <w:r w:rsidR="00112E9A" w:rsidRPr="004E53C8">
        <w:rPr>
          <w:rFonts w:ascii="Arial" w:hAnsi="Arial" w:cs="Arial"/>
          <w:szCs w:val="24"/>
        </w:rPr>
        <w:t>e</w:t>
      </w:r>
      <w:r w:rsidR="00A04061" w:rsidRPr="004E53C8">
        <w:rPr>
          <w:rFonts w:ascii="Arial" w:hAnsi="Arial" w:cs="Arial"/>
          <w:szCs w:val="24"/>
        </w:rPr>
        <w:t>ncaminhados à CGU para análise</w:t>
      </w:r>
      <w:r w:rsidR="00112E9A" w:rsidRPr="004E53C8">
        <w:rPr>
          <w:rFonts w:ascii="Arial" w:hAnsi="Arial" w:cs="Arial"/>
          <w:szCs w:val="24"/>
        </w:rPr>
        <w:t xml:space="preserve">. </w:t>
      </w:r>
      <w:r w:rsidR="00B16A98" w:rsidRPr="004E53C8">
        <w:rPr>
          <w:rFonts w:ascii="Arial" w:hAnsi="Arial" w:cs="Arial"/>
          <w:szCs w:val="24"/>
        </w:rPr>
        <w:t>Abaixo seg</w:t>
      </w:r>
      <w:r w:rsidR="000B42E2" w:rsidRPr="004E53C8">
        <w:rPr>
          <w:rFonts w:ascii="Arial" w:hAnsi="Arial" w:cs="Arial"/>
          <w:szCs w:val="24"/>
        </w:rPr>
        <w:t>ue o quadro com a descrição do o</w:t>
      </w:r>
      <w:r w:rsidR="00B16A98" w:rsidRPr="004E53C8">
        <w:rPr>
          <w:rFonts w:ascii="Arial" w:hAnsi="Arial" w:cs="Arial"/>
          <w:szCs w:val="24"/>
        </w:rPr>
        <w:t>bjeto que trata</w:t>
      </w:r>
      <w:r w:rsidR="000B42E2" w:rsidRPr="004E53C8">
        <w:rPr>
          <w:rFonts w:ascii="Arial" w:hAnsi="Arial" w:cs="Arial"/>
          <w:szCs w:val="24"/>
        </w:rPr>
        <w:t xml:space="preserve"> cada r</w:t>
      </w:r>
      <w:r w:rsidR="00B16A98" w:rsidRPr="004E53C8">
        <w:rPr>
          <w:rFonts w:ascii="Arial" w:hAnsi="Arial" w:cs="Arial"/>
          <w:szCs w:val="24"/>
        </w:rPr>
        <w:t xml:space="preserve">elatório emitido pela CGU: </w:t>
      </w:r>
    </w:p>
    <w:p w:rsidR="0007398C" w:rsidRPr="004E53C8" w:rsidRDefault="00B16A98" w:rsidP="00112E9A">
      <w:pPr>
        <w:jc w:val="center"/>
        <w:rPr>
          <w:rFonts w:ascii="Arial" w:hAnsi="Arial" w:cs="Arial"/>
          <w:szCs w:val="24"/>
        </w:rPr>
      </w:pPr>
      <w:r w:rsidRPr="004E53C8">
        <w:rPr>
          <w:rFonts w:ascii="Arial" w:hAnsi="Arial" w:cs="Arial"/>
          <w:szCs w:val="24"/>
        </w:rPr>
        <w:t>Quadro 1 – Informações quanto aos Relatórios de Auditoria de Gestão emitidos pela CGU que estão em tratamento no PPP.</w:t>
      </w:r>
    </w:p>
    <w:p w:rsidR="0007398C" w:rsidRPr="004E53C8" w:rsidRDefault="0007398C" w:rsidP="00112E9A">
      <w:pPr>
        <w:rPr>
          <w:rFonts w:ascii="Arial" w:hAnsi="Arial" w:cs="Arial"/>
        </w:rPr>
      </w:pPr>
      <w:r w:rsidRPr="004E53C8">
        <w:rPr>
          <w:rFonts w:ascii="Arial" w:hAnsi="Arial" w:cs="Arial"/>
          <w:noProof/>
          <w:lang w:eastAsia="pt-BR"/>
        </w:rPr>
        <w:drawing>
          <wp:inline distT="0" distB="0" distL="0" distR="0" wp14:anchorId="7A747652" wp14:editId="60EC0FF0">
            <wp:extent cx="6034538" cy="4901609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4646" cy="490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E9A" w:rsidRPr="004E53C8">
        <w:rPr>
          <w:rFonts w:ascii="Arial" w:hAnsi="Arial" w:cs="Arial"/>
        </w:rPr>
        <w:t xml:space="preserve">         Fonte: SIPAC</w:t>
      </w:r>
    </w:p>
    <w:p w:rsidR="0007398C" w:rsidRPr="004E53C8" w:rsidRDefault="00F83431" w:rsidP="00F83431">
      <w:pPr>
        <w:rPr>
          <w:rFonts w:ascii="Arial" w:hAnsi="Arial" w:cs="Arial"/>
        </w:rPr>
      </w:pPr>
      <w:r w:rsidRPr="004E53C8">
        <w:rPr>
          <w:rFonts w:ascii="Arial" w:hAnsi="Arial" w:cs="Arial"/>
          <w:b/>
          <w:iCs/>
          <w:color w:val="44546A" w:themeColor="text2"/>
          <w:sz w:val="20"/>
          <w:szCs w:val="18"/>
        </w:rPr>
        <w:tab/>
      </w:r>
      <w:r w:rsidRPr="004E53C8">
        <w:rPr>
          <w:rFonts w:ascii="Arial" w:hAnsi="Arial" w:cs="Arial"/>
          <w:b/>
          <w:iCs/>
          <w:color w:val="44546A" w:themeColor="text2"/>
          <w:sz w:val="20"/>
          <w:szCs w:val="18"/>
        </w:rPr>
        <w:tab/>
      </w:r>
    </w:p>
    <w:p w:rsidR="00260D48" w:rsidRPr="004E53C8" w:rsidRDefault="00260D48" w:rsidP="00260D48">
      <w:pPr>
        <w:ind w:firstLine="708"/>
        <w:rPr>
          <w:rFonts w:ascii="Arial" w:hAnsi="Arial" w:cs="Arial"/>
          <w:szCs w:val="24"/>
        </w:rPr>
      </w:pPr>
      <w:r w:rsidRPr="004E53C8">
        <w:rPr>
          <w:rFonts w:ascii="Arial" w:hAnsi="Arial" w:cs="Arial"/>
          <w:szCs w:val="24"/>
        </w:rPr>
        <w:lastRenderedPageBreak/>
        <w:t>Quanto aos relatórios relacionados acima, informa-se que constam na base de dados da CGU</w:t>
      </w:r>
      <w:r w:rsidR="00CD6E91" w:rsidRPr="004E53C8">
        <w:rPr>
          <w:rFonts w:ascii="Arial" w:hAnsi="Arial" w:cs="Arial"/>
          <w:szCs w:val="24"/>
        </w:rPr>
        <w:t>,</w:t>
      </w:r>
      <w:r w:rsidRPr="004E53C8">
        <w:rPr>
          <w:rFonts w:ascii="Arial" w:hAnsi="Arial" w:cs="Arial"/>
          <w:szCs w:val="24"/>
        </w:rPr>
        <w:t xml:space="preserve"> 10 relatórios de auditoria anual de contas, que consolidam o total de 68 recomendações que estão sendo monitoradas </w:t>
      </w:r>
      <w:r w:rsidR="00CD6E91" w:rsidRPr="004E53C8">
        <w:rPr>
          <w:rFonts w:ascii="Arial" w:hAnsi="Arial" w:cs="Arial"/>
          <w:szCs w:val="24"/>
        </w:rPr>
        <w:t>pela Controladoria</w:t>
      </w:r>
      <w:r w:rsidRPr="004E53C8">
        <w:rPr>
          <w:rFonts w:ascii="Arial" w:hAnsi="Arial" w:cs="Arial"/>
          <w:szCs w:val="24"/>
        </w:rPr>
        <w:t xml:space="preserve">. </w:t>
      </w:r>
      <w:r w:rsidR="007D2567" w:rsidRPr="004E53C8">
        <w:rPr>
          <w:rFonts w:ascii="Arial" w:hAnsi="Arial" w:cs="Arial"/>
          <w:szCs w:val="24"/>
        </w:rPr>
        <w:t>Ressalta-se que até final de dezembro de 2016, o “atendimento” das recomendações estava</w:t>
      </w:r>
      <w:r w:rsidR="00CD6E91" w:rsidRPr="004E53C8">
        <w:rPr>
          <w:rFonts w:ascii="Arial" w:hAnsi="Arial" w:cs="Arial"/>
          <w:szCs w:val="24"/>
        </w:rPr>
        <w:t xml:space="preserve"> em análise pela CGU, conforme demonstração gráfica abaixo.</w:t>
      </w:r>
    </w:p>
    <w:p w:rsidR="00260D48" w:rsidRPr="004E53C8" w:rsidRDefault="00260D48" w:rsidP="007D2567">
      <w:pPr>
        <w:pStyle w:val="PargrafodaLista"/>
        <w:spacing w:after="0"/>
        <w:ind w:left="0" w:hanging="567"/>
        <w:outlineLvl w:val="1"/>
        <w:rPr>
          <w:rFonts w:ascii="Arial" w:hAnsi="Arial" w:cs="Arial"/>
          <w:b/>
          <w:bCs/>
          <w:szCs w:val="24"/>
        </w:rPr>
      </w:pPr>
      <w:r w:rsidRPr="004E53C8">
        <w:rPr>
          <w:rFonts w:ascii="Arial" w:hAnsi="Arial" w:cs="Arial"/>
          <w:noProof/>
          <w:lang w:eastAsia="pt-BR"/>
        </w:rPr>
        <w:drawing>
          <wp:inline distT="0" distB="0" distL="0" distR="0" wp14:anchorId="5B2C5675" wp14:editId="4EFDB266">
            <wp:extent cx="6113153" cy="2509283"/>
            <wp:effectExtent l="0" t="0" r="190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51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567" w:rsidRPr="004E53C8">
        <w:rPr>
          <w:rFonts w:ascii="Arial" w:hAnsi="Arial" w:cs="Arial"/>
          <w:bCs/>
          <w:szCs w:val="24"/>
        </w:rPr>
        <w:t xml:space="preserve">   Fonte: Sistema Monitor da CGU</w:t>
      </w:r>
    </w:p>
    <w:p w:rsidR="007D2567" w:rsidRPr="004E53C8" w:rsidRDefault="007D2567" w:rsidP="000B42E2">
      <w:pPr>
        <w:pStyle w:val="PargrafodaLista"/>
        <w:spacing w:after="0"/>
        <w:ind w:left="0" w:firstLine="709"/>
        <w:outlineLvl w:val="1"/>
        <w:rPr>
          <w:rFonts w:ascii="Arial" w:hAnsi="Arial" w:cs="Arial"/>
          <w:b/>
          <w:bCs/>
          <w:szCs w:val="24"/>
        </w:rPr>
      </w:pPr>
    </w:p>
    <w:p w:rsidR="000B42E2" w:rsidRPr="004E53C8" w:rsidRDefault="000B42E2" w:rsidP="000B42E2">
      <w:pPr>
        <w:spacing w:after="0"/>
        <w:ind w:firstLine="709"/>
        <w:outlineLvl w:val="1"/>
        <w:rPr>
          <w:rFonts w:ascii="Arial" w:hAnsi="Arial" w:cs="Arial"/>
          <w:bCs/>
          <w:szCs w:val="24"/>
        </w:rPr>
      </w:pPr>
      <w:r w:rsidRPr="004E53C8">
        <w:rPr>
          <w:rFonts w:ascii="Arial" w:hAnsi="Arial" w:cs="Arial"/>
          <w:bCs/>
          <w:szCs w:val="24"/>
        </w:rPr>
        <w:t>Quanto à forma de acompanhamento das recomendações da OCI, informa-se que o IFAM está implantando o Sistema de Controle Interno, no qual são integrantes</w:t>
      </w:r>
      <w:r w:rsidR="00624CD1" w:rsidRPr="004E53C8">
        <w:rPr>
          <w:rFonts w:ascii="Arial" w:hAnsi="Arial" w:cs="Arial"/>
          <w:bCs/>
          <w:szCs w:val="24"/>
        </w:rPr>
        <w:t>:</w:t>
      </w:r>
      <w:r w:rsidRPr="004E53C8">
        <w:rPr>
          <w:rFonts w:ascii="Arial" w:hAnsi="Arial" w:cs="Arial"/>
          <w:bCs/>
          <w:szCs w:val="24"/>
        </w:rPr>
        <w:t xml:space="preserve"> a Auditoria Interna, a Coordenação de Governança e Controle Interno</w:t>
      </w:r>
      <w:r w:rsidR="009242EA" w:rsidRPr="004E53C8">
        <w:rPr>
          <w:rFonts w:ascii="Arial" w:hAnsi="Arial" w:cs="Arial"/>
          <w:bCs/>
          <w:szCs w:val="24"/>
        </w:rPr>
        <w:t xml:space="preserve"> (CGCI)</w:t>
      </w:r>
      <w:r w:rsidRPr="004E53C8">
        <w:rPr>
          <w:rFonts w:ascii="Arial" w:hAnsi="Arial" w:cs="Arial"/>
          <w:bCs/>
          <w:szCs w:val="24"/>
        </w:rPr>
        <w:t xml:space="preserve"> e os controles internos administrativos de cada </w:t>
      </w:r>
      <w:proofErr w:type="spellStart"/>
      <w:r w:rsidRPr="004E53C8">
        <w:rPr>
          <w:rFonts w:ascii="Arial" w:hAnsi="Arial" w:cs="Arial"/>
          <w:bCs/>
          <w:szCs w:val="24"/>
        </w:rPr>
        <w:t>Pró-Reitoria</w:t>
      </w:r>
      <w:proofErr w:type="spellEnd"/>
      <w:r w:rsidRPr="004E53C8">
        <w:rPr>
          <w:rFonts w:ascii="Arial" w:hAnsi="Arial" w:cs="Arial"/>
          <w:bCs/>
          <w:szCs w:val="24"/>
        </w:rPr>
        <w:t xml:space="preserve"> e das Unidades Gestores (</w:t>
      </w:r>
      <w:r w:rsidRPr="004E53C8">
        <w:rPr>
          <w:rFonts w:ascii="Arial" w:hAnsi="Arial" w:cs="Arial"/>
          <w:bCs/>
          <w:i/>
          <w:szCs w:val="24"/>
        </w:rPr>
        <w:t>Campi</w:t>
      </w:r>
      <w:r w:rsidRPr="004E53C8">
        <w:rPr>
          <w:rFonts w:ascii="Arial" w:hAnsi="Arial" w:cs="Arial"/>
          <w:bCs/>
          <w:szCs w:val="24"/>
        </w:rPr>
        <w:t>).</w:t>
      </w:r>
      <w:r w:rsidR="00624CD1" w:rsidRPr="004E53C8">
        <w:rPr>
          <w:rFonts w:ascii="Arial" w:hAnsi="Arial" w:cs="Arial"/>
          <w:bCs/>
          <w:szCs w:val="24"/>
        </w:rPr>
        <w:t xml:space="preserve"> </w:t>
      </w:r>
    </w:p>
    <w:p w:rsidR="00624CD1" w:rsidRPr="004E53C8" w:rsidRDefault="00194912" w:rsidP="00624CD1">
      <w:pPr>
        <w:spacing w:after="0"/>
        <w:ind w:firstLine="709"/>
        <w:outlineLvl w:val="1"/>
        <w:rPr>
          <w:rFonts w:ascii="Arial" w:hAnsi="Arial" w:cs="Arial"/>
          <w:bCs/>
          <w:szCs w:val="24"/>
        </w:rPr>
      </w:pPr>
      <w:r w:rsidRPr="004E53C8">
        <w:rPr>
          <w:rFonts w:ascii="Arial" w:hAnsi="Arial" w:cs="Arial"/>
          <w:bCs/>
          <w:szCs w:val="24"/>
        </w:rPr>
        <w:t xml:space="preserve">Igualmente, destaca-se a utilização do </w:t>
      </w:r>
      <w:r w:rsidR="000B42E2" w:rsidRPr="004E53C8">
        <w:rPr>
          <w:rFonts w:ascii="Arial" w:hAnsi="Arial" w:cs="Arial"/>
          <w:bCs/>
          <w:szCs w:val="24"/>
        </w:rPr>
        <w:t xml:space="preserve">Sistema Monitor da CGU, </w:t>
      </w:r>
      <w:r w:rsidRPr="004E53C8">
        <w:rPr>
          <w:rFonts w:ascii="Arial" w:hAnsi="Arial" w:cs="Arial"/>
          <w:bCs/>
          <w:szCs w:val="24"/>
        </w:rPr>
        <w:t>que se trata</w:t>
      </w:r>
      <w:r w:rsidR="000B42E2" w:rsidRPr="004E53C8">
        <w:rPr>
          <w:rFonts w:ascii="Arial" w:hAnsi="Arial" w:cs="Arial"/>
          <w:bCs/>
          <w:szCs w:val="24"/>
        </w:rPr>
        <w:t xml:space="preserve"> de instrumento</w:t>
      </w:r>
      <w:r w:rsidRPr="004E53C8">
        <w:rPr>
          <w:rFonts w:ascii="Arial" w:hAnsi="Arial" w:cs="Arial"/>
          <w:bCs/>
          <w:szCs w:val="24"/>
        </w:rPr>
        <w:t xml:space="preserve"> informatizado</w:t>
      </w:r>
      <w:r w:rsidR="000B42E2" w:rsidRPr="004E53C8">
        <w:rPr>
          <w:rFonts w:ascii="Arial" w:hAnsi="Arial" w:cs="Arial"/>
          <w:bCs/>
          <w:szCs w:val="24"/>
        </w:rPr>
        <w:t xml:space="preserve"> </w:t>
      </w:r>
      <w:r w:rsidRPr="004E53C8">
        <w:rPr>
          <w:rFonts w:ascii="Arial" w:hAnsi="Arial" w:cs="Arial"/>
          <w:bCs/>
          <w:szCs w:val="24"/>
        </w:rPr>
        <w:t xml:space="preserve">“utilizado para viabilizar o acompanhamento do atendimento às ações de controle, possibilitando atuação de forma ampla e abrangente, no âmbito dos resultados da ação governamental, além do conhecimento e acompanhamento das melhorias aplicadas e sua repercussão nos resultados das ações”. </w:t>
      </w:r>
      <w:r w:rsidR="00624CD1" w:rsidRPr="004E53C8">
        <w:rPr>
          <w:rFonts w:ascii="Arial" w:hAnsi="Arial" w:cs="Arial"/>
          <w:bCs/>
          <w:szCs w:val="24"/>
        </w:rPr>
        <w:t xml:space="preserve">Dessa forma, a atualização do Plano de Providências Permanente pode ser realizada periodicamente via sistema informatizado. </w:t>
      </w:r>
    </w:p>
    <w:p w:rsidR="00CD6E91" w:rsidRPr="004E53C8" w:rsidRDefault="00624CD1" w:rsidP="00624CD1">
      <w:pPr>
        <w:spacing w:after="0"/>
        <w:ind w:firstLine="709"/>
        <w:outlineLvl w:val="1"/>
        <w:rPr>
          <w:rFonts w:ascii="Arial" w:hAnsi="Arial" w:cs="Arial"/>
          <w:bCs/>
          <w:szCs w:val="24"/>
        </w:rPr>
      </w:pPr>
      <w:r w:rsidRPr="004E53C8">
        <w:rPr>
          <w:rFonts w:ascii="Arial" w:hAnsi="Arial" w:cs="Arial"/>
          <w:bCs/>
          <w:szCs w:val="24"/>
        </w:rPr>
        <w:t>Por fim, informa-se que</w:t>
      </w:r>
      <w:r w:rsidR="009242EA" w:rsidRPr="004E53C8">
        <w:rPr>
          <w:rFonts w:ascii="Arial" w:hAnsi="Arial" w:cs="Arial"/>
          <w:bCs/>
          <w:szCs w:val="24"/>
        </w:rPr>
        <w:t xml:space="preserve"> a CGCI </w:t>
      </w:r>
      <w:r w:rsidRPr="004E53C8">
        <w:rPr>
          <w:rFonts w:ascii="Arial" w:hAnsi="Arial" w:cs="Arial"/>
          <w:bCs/>
          <w:szCs w:val="24"/>
        </w:rPr>
        <w:t>elabor</w:t>
      </w:r>
      <w:r w:rsidR="009242EA" w:rsidRPr="004E53C8">
        <w:rPr>
          <w:rFonts w:ascii="Arial" w:hAnsi="Arial" w:cs="Arial"/>
          <w:bCs/>
          <w:szCs w:val="24"/>
        </w:rPr>
        <w:t>ou</w:t>
      </w:r>
      <w:r w:rsidRPr="004E53C8">
        <w:rPr>
          <w:rFonts w:ascii="Arial" w:hAnsi="Arial" w:cs="Arial"/>
          <w:bCs/>
          <w:szCs w:val="24"/>
        </w:rPr>
        <w:t xml:space="preserve"> o Procedimento de tratativas de demandas da CGU e TCU</w:t>
      </w:r>
      <w:r w:rsidR="009242EA" w:rsidRPr="004E53C8">
        <w:rPr>
          <w:rFonts w:ascii="Arial" w:hAnsi="Arial" w:cs="Arial"/>
          <w:bCs/>
          <w:szCs w:val="24"/>
        </w:rPr>
        <w:t xml:space="preserve"> que vem sendo utilizado pelos setores </w:t>
      </w:r>
      <w:r w:rsidR="009242EA" w:rsidRPr="004E53C8">
        <w:rPr>
          <w:rFonts w:ascii="Arial" w:hAnsi="Arial" w:cs="Arial"/>
          <w:bCs/>
          <w:szCs w:val="24"/>
        </w:rPr>
        <w:lastRenderedPageBreak/>
        <w:t>envolvidos, facilitando assim o cumprimento das demandas dos órgão</w:t>
      </w:r>
      <w:r w:rsidR="00CB6AFB" w:rsidRPr="004E53C8">
        <w:rPr>
          <w:rFonts w:ascii="Arial" w:hAnsi="Arial" w:cs="Arial"/>
          <w:bCs/>
          <w:szCs w:val="24"/>
        </w:rPr>
        <w:t>s</w:t>
      </w:r>
      <w:r w:rsidR="009242EA" w:rsidRPr="004E53C8">
        <w:rPr>
          <w:rFonts w:ascii="Arial" w:hAnsi="Arial" w:cs="Arial"/>
          <w:bCs/>
          <w:szCs w:val="24"/>
        </w:rPr>
        <w:t xml:space="preserve"> de fiscalização.</w:t>
      </w:r>
    </w:p>
    <w:p w:rsidR="000B42E2" w:rsidRPr="004E53C8" w:rsidRDefault="000B42E2" w:rsidP="000B42E2">
      <w:pPr>
        <w:pStyle w:val="PargrafodaLista"/>
        <w:spacing w:after="0"/>
        <w:ind w:left="0"/>
        <w:outlineLvl w:val="1"/>
        <w:rPr>
          <w:rFonts w:ascii="Arial" w:hAnsi="Arial" w:cs="Arial"/>
          <w:b/>
          <w:bCs/>
          <w:szCs w:val="24"/>
        </w:rPr>
      </w:pPr>
    </w:p>
    <w:p w:rsidR="000B42E2" w:rsidRPr="004E53C8" w:rsidRDefault="000B42E2" w:rsidP="00260D48">
      <w:pPr>
        <w:pStyle w:val="PargrafodaLista"/>
        <w:spacing w:after="0"/>
        <w:ind w:left="432"/>
        <w:outlineLvl w:val="1"/>
        <w:rPr>
          <w:rFonts w:ascii="Arial" w:hAnsi="Arial" w:cs="Arial"/>
          <w:b/>
          <w:bCs/>
          <w:szCs w:val="24"/>
        </w:rPr>
      </w:pPr>
    </w:p>
    <w:p w:rsidR="000B42E2" w:rsidRPr="004E53C8" w:rsidRDefault="000B42E2" w:rsidP="00260D48">
      <w:pPr>
        <w:pStyle w:val="PargrafodaLista"/>
        <w:spacing w:after="0"/>
        <w:ind w:left="432"/>
        <w:outlineLvl w:val="1"/>
        <w:rPr>
          <w:rFonts w:ascii="Arial" w:hAnsi="Arial" w:cs="Arial"/>
          <w:b/>
          <w:bCs/>
          <w:szCs w:val="24"/>
        </w:rPr>
      </w:pPr>
    </w:p>
    <w:p w:rsidR="00260D48" w:rsidRPr="004E53C8" w:rsidRDefault="00260D48" w:rsidP="00260D48">
      <w:pPr>
        <w:rPr>
          <w:rFonts w:ascii="Arial" w:hAnsi="Arial" w:cs="Arial"/>
          <w:szCs w:val="24"/>
        </w:rPr>
      </w:pPr>
    </w:p>
    <w:sectPr w:rsidR="00260D48" w:rsidRPr="004E5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528C6"/>
    <w:multiLevelType w:val="hybridMultilevel"/>
    <w:tmpl w:val="69322852"/>
    <w:lvl w:ilvl="0" w:tplc="EB12A5F6">
      <w:start w:val="3"/>
      <w:numFmt w:val="decimalZero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E05D1"/>
    <w:multiLevelType w:val="hybridMultilevel"/>
    <w:tmpl w:val="7F9C028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A400AA"/>
    <w:multiLevelType w:val="multilevel"/>
    <w:tmpl w:val="BEC29C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B9"/>
    <w:rsid w:val="0007398C"/>
    <w:rsid w:val="00092AF3"/>
    <w:rsid w:val="000B42E2"/>
    <w:rsid w:val="00112E9A"/>
    <w:rsid w:val="00142E99"/>
    <w:rsid w:val="00177EC1"/>
    <w:rsid w:val="00194912"/>
    <w:rsid w:val="00200EC5"/>
    <w:rsid w:val="00260D48"/>
    <w:rsid w:val="002D32B3"/>
    <w:rsid w:val="003817CD"/>
    <w:rsid w:val="003D483B"/>
    <w:rsid w:val="004D5444"/>
    <w:rsid w:val="004E53C8"/>
    <w:rsid w:val="00525AD8"/>
    <w:rsid w:val="005B57A9"/>
    <w:rsid w:val="0060545D"/>
    <w:rsid w:val="00624CD1"/>
    <w:rsid w:val="00651012"/>
    <w:rsid w:val="00652AE5"/>
    <w:rsid w:val="0069175B"/>
    <w:rsid w:val="00725B70"/>
    <w:rsid w:val="007D2567"/>
    <w:rsid w:val="007F7FB1"/>
    <w:rsid w:val="00921C4C"/>
    <w:rsid w:val="009242EA"/>
    <w:rsid w:val="00A04061"/>
    <w:rsid w:val="00A907B9"/>
    <w:rsid w:val="00A90ACD"/>
    <w:rsid w:val="00B16A98"/>
    <w:rsid w:val="00B224DB"/>
    <w:rsid w:val="00BD6EF8"/>
    <w:rsid w:val="00C0673D"/>
    <w:rsid w:val="00C83D30"/>
    <w:rsid w:val="00CB6AFB"/>
    <w:rsid w:val="00CD6E91"/>
    <w:rsid w:val="00D26DBF"/>
    <w:rsid w:val="00D43EB6"/>
    <w:rsid w:val="00D52848"/>
    <w:rsid w:val="00F8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5D"/>
    <w:pPr>
      <w:spacing w:after="20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54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545D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60545D"/>
    <w:pPr>
      <w:spacing w:line="240" w:lineRule="auto"/>
      <w:jc w:val="center"/>
    </w:pPr>
    <w:rPr>
      <w:b/>
      <w:iCs/>
      <w:color w:val="44546A" w:themeColor="text2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9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5D"/>
    <w:pPr>
      <w:spacing w:after="20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54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545D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60545D"/>
    <w:pPr>
      <w:spacing w:line="240" w:lineRule="auto"/>
      <w:jc w:val="center"/>
    </w:pPr>
    <w:rPr>
      <w:b/>
      <w:iCs/>
      <w:color w:val="44546A" w:themeColor="text2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9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beta\AUDIN\6.%20TCU\1.%20RELAT&#211;RIO%20DE%20GEST&#195;O\2016\Novo(a)%20Planilha%20do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Nível de atendimento das determinações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6167191601049866"/>
          <c:y val="0.44777012248468939"/>
          <c:w val="0.53277252843394574"/>
          <c:h val="0.55222987751531061"/>
        </c:manualLayout>
      </c:layout>
      <c:pieChart>
        <c:varyColors val="1"/>
        <c:ser>
          <c:idx val="0"/>
          <c:order val="0"/>
          <c:explosion val="3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Plan1!$C$2:$E$2</c:f>
              <c:strCache>
                <c:ptCount val="3"/>
                <c:pt idx="0">
                  <c:v>Atendidas</c:v>
                </c:pt>
                <c:pt idx="1">
                  <c:v>Em atendimento</c:v>
                </c:pt>
                <c:pt idx="2">
                  <c:v>Não atendidas</c:v>
                </c:pt>
              </c:strCache>
            </c:strRef>
          </c:cat>
          <c:val>
            <c:numRef>
              <c:f>Plan1!$C$8:$E$8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1514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Luiz Cavalcante Ferreira</dc:creator>
  <cp:lastModifiedBy>Samara Santos dos Santos</cp:lastModifiedBy>
  <cp:revision>15</cp:revision>
  <dcterms:created xsi:type="dcterms:W3CDTF">2017-01-30T17:57:00Z</dcterms:created>
  <dcterms:modified xsi:type="dcterms:W3CDTF">2017-02-01T20:50:00Z</dcterms:modified>
</cp:coreProperties>
</file>