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jc w:val="center"/>
        <w:tblBorders>
          <w:bottom w:val="single" w:sz="4" w:space="0" w:color="auto"/>
          <w:insideH w:val="single" w:sz="4" w:space="0" w:color="auto"/>
        </w:tblBorders>
        <w:tblLayout w:type="fixed"/>
        <w:tblLook w:val="0000" w:firstRow="0" w:lastRow="0" w:firstColumn="0" w:lastColumn="0" w:noHBand="0" w:noVBand="0"/>
      </w:tblPr>
      <w:tblGrid>
        <w:gridCol w:w="10031"/>
      </w:tblGrid>
      <w:tr w:rsidR="00352923" w:rsidTr="00352923">
        <w:trPr>
          <w:cantSplit/>
          <w:trHeight w:val="575"/>
          <w:jc w:val="center"/>
        </w:trPr>
        <w:tc>
          <w:tcPr>
            <w:tcW w:w="10031" w:type="dxa"/>
            <w:tcBorders>
              <w:top w:val="single" w:sz="4" w:space="0" w:color="auto"/>
              <w:left w:val="single" w:sz="4" w:space="0" w:color="auto"/>
              <w:bottom w:val="single" w:sz="4" w:space="0" w:color="auto"/>
              <w:right w:val="single" w:sz="4" w:space="0" w:color="auto"/>
            </w:tcBorders>
          </w:tcPr>
          <w:p w:rsidR="00352923" w:rsidRPr="00D45AA9" w:rsidRDefault="00352923" w:rsidP="00C70A4F">
            <w:pPr>
              <w:pStyle w:val="Corpodetexto2"/>
              <w:spacing w:before="120" w:line="240" w:lineRule="auto"/>
              <w:ind w:left="-108" w:firstLine="108"/>
              <w:rPr>
                <w:rFonts w:ascii="Arial" w:hAnsi="Arial" w:cs="Arial"/>
                <w:b/>
                <w:sz w:val="28"/>
                <w:szCs w:val="28"/>
              </w:rPr>
            </w:pPr>
            <w:r>
              <w:rPr>
                <w:rFonts w:ascii="Arial" w:hAnsi="Arial" w:cs="Arial"/>
                <w:b/>
                <w:sz w:val="22"/>
                <w:szCs w:val="22"/>
              </w:rPr>
              <w:t>T</w:t>
            </w:r>
            <w:r w:rsidRPr="00D45AA9">
              <w:rPr>
                <w:rFonts w:ascii="Arial" w:hAnsi="Arial" w:cs="Arial"/>
                <w:b/>
                <w:sz w:val="22"/>
                <w:szCs w:val="22"/>
              </w:rPr>
              <w:t>ítulo do Projeto:</w:t>
            </w:r>
            <w:r>
              <w:rPr>
                <w:rFonts w:ascii="Arial" w:hAnsi="Arial" w:cs="Arial"/>
                <w:b/>
                <w:sz w:val="22"/>
                <w:szCs w:val="22"/>
              </w:rPr>
              <w:t xml:space="preserve"> </w:t>
            </w:r>
            <w:r w:rsidRPr="00101EC8">
              <w:rPr>
                <w:rFonts w:cs="Arial"/>
                <w:i/>
                <w:iCs/>
                <w:szCs w:val="20"/>
              </w:rPr>
              <w:t>Relatório de Gestão – Exercício de 2012</w:t>
            </w:r>
          </w:p>
        </w:tc>
      </w:tr>
    </w:tbl>
    <w:p w:rsidR="00352923" w:rsidRDefault="00352923" w:rsidP="00352923"/>
    <w:tbl>
      <w:tblPr>
        <w:tblW w:w="10144" w:type="dxa"/>
        <w:jc w:val="center"/>
        <w:tblInd w:w="-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76"/>
        <w:gridCol w:w="4970"/>
        <w:gridCol w:w="2598"/>
      </w:tblGrid>
      <w:tr w:rsidR="00352923" w:rsidTr="007C223A">
        <w:trPr>
          <w:trHeight w:val="376"/>
          <w:jc w:val="center"/>
        </w:trPr>
        <w:tc>
          <w:tcPr>
            <w:tcW w:w="10144" w:type="dxa"/>
            <w:gridSpan w:val="3"/>
            <w:tcBorders>
              <w:top w:val="single" w:sz="4" w:space="0" w:color="auto"/>
              <w:left w:val="single" w:sz="4" w:space="0" w:color="auto"/>
              <w:bottom w:val="single" w:sz="2" w:space="0" w:color="auto"/>
              <w:right w:val="single" w:sz="4" w:space="0" w:color="auto"/>
            </w:tcBorders>
            <w:shd w:val="clear" w:color="auto" w:fill="C0C0C0"/>
          </w:tcPr>
          <w:p w:rsidR="00352923" w:rsidRDefault="00352923" w:rsidP="00C70A4F">
            <w:pPr>
              <w:spacing w:before="120" w:after="120"/>
              <w:ind w:firstLine="284"/>
              <w:jc w:val="center"/>
              <w:rPr>
                <w:b/>
              </w:rPr>
            </w:pPr>
            <w:r>
              <w:rPr>
                <w:b/>
              </w:rPr>
              <w:t>DADOS GERAIS</w:t>
            </w:r>
          </w:p>
        </w:tc>
      </w:tr>
      <w:tr w:rsidR="00352923" w:rsidTr="007C223A">
        <w:trPr>
          <w:trHeight w:val="376"/>
          <w:jc w:val="center"/>
        </w:trPr>
        <w:tc>
          <w:tcPr>
            <w:tcW w:w="10144" w:type="dxa"/>
            <w:gridSpan w:val="3"/>
            <w:tcBorders>
              <w:top w:val="single" w:sz="2" w:space="0" w:color="auto"/>
              <w:left w:val="single" w:sz="4" w:space="0" w:color="auto"/>
              <w:bottom w:val="single" w:sz="2" w:space="0" w:color="auto"/>
              <w:right w:val="single" w:sz="4" w:space="0" w:color="auto"/>
            </w:tcBorders>
          </w:tcPr>
          <w:p w:rsidR="00352923" w:rsidRPr="00986D90" w:rsidRDefault="00352923" w:rsidP="00C70A4F">
            <w:pPr>
              <w:spacing w:before="120" w:after="120"/>
              <w:ind w:firstLine="214"/>
              <w:rPr>
                <w:b/>
              </w:rPr>
            </w:pPr>
            <w:r>
              <w:rPr>
                <w:b/>
              </w:rPr>
              <w:t xml:space="preserve">Fase do Projeto: </w:t>
            </w:r>
            <w:r w:rsidRPr="00101EC8">
              <w:rPr>
                <w:bCs/>
                <w:i/>
              </w:rPr>
              <w:t>Inicial</w:t>
            </w:r>
          </w:p>
        </w:tc>
      </w:tr>
      <w:tr w:rsidR="00352923" w:rsidTr="007C223A">
        <w:trPr>
          <w:trHeight w:val="376"/>
          <w:jc w:val="center"/>
        </w:trPr>
        <w:tc>
          <w:tcPr>
            <w:tcW w:w="10144" w:type="dxa"/>
            <w:gridSpan w:val="3"/>
            <w:tcBorders>
              <w:top w:val="single" w:sz="2" w:space="0" w:color="auto"/>
              <w:left w:val="single" w:sz="4" w:space="0" w:color="auto"/>
              <w:bottom w:val="single" w:sz="4" w:space="0" w:color="auto"/>
              <w:right w:val="single" w:sz="4" w:space="0" w:color="auto"/>
            </w:tcBorders>
          </w:tcPr>
          <w:p w:rsidR="00352923" w:rsidRPr="000374E7" w:rsidRDefault="00352923" w:rsidP="00C70A4F">
            <w:pPr>
              <w:spacing w:before="120" w:after="120"/>
              <w:ind w:firstLine="214"/>
            </w:pPr>
            <w:r w:rsidRPr="00986D90">
              <w:rPr>
                <w:b/>
              </w:rPr>
              <w:t>Objetivo da Reunião</w:t>
            </w:r>
            <w:r>
              <w:rPr>
                <w:b/>
              </w:rPr>
              <w:t xml:space="preserve">: </w:t>
            </w:r>
            <w:r w:rsidRPr="00101EC8">
              <w:rPr>
                <w:bCs/>
                <w:i/>
              </w:rPr>
              <w:t>Definir atribuições e cronogram</w:t>
            </w:r>
            <w:r>
              <w:rPr>
                <w:bCs/>
                <w:i/>
              </w:rPr>
              <w:t>a para elaboração do Relatório de Gestão</w:t>
            </w:r>
          </w:p>
        </w:tc>
      </w:tr>
      <w:tr w:rsidR="00352923" w:rsidTr="007C223A">
        <w:trPr>
          <w:jc w:val="center"/>
        </w:trPr>
        <w:tc>
          <w:tcPr>
            <w:tcW w:w="2576" w:type="dxa"/>
            <w:tcBorders>
              <w:top w:val="single" w:sz="4" w:space="0" w:color="auto"/>
              <w:left w:val="single" w:sz="4" w:space="0" w:color="auto"/>
              <w:bottom w:val="single" w:sz="4" w:space="0" w:color="auto"/>
              <w:right w:val="single" w:sz="2" w:space="0" w:color="auto"/>
            </w:tcBorders>
          </w:tcPr>
          <w:p w:rsidR="00352923" w:rsidRPr="00986D90" w:rsidRDefault="00352923" w:rsidP="00352923">
            <w:pPr>
              <w:tabs>
                <w:tab w:val="left" w:pos="2480"/>
                <w:tab w:val="left" w:pos="2975"/>
                <w:tab w:val="left" w:pos="3047"/>
              </w:tabs>
              <w:spacing w:before="120" w:after="120"/>
              <w:ind w:left="212" w:right="70"/>
              <w:rPr>
                <w:b/>
              </w:rPr>
            </w:pPr>
            <w:r w:rsidRPr="00986D90">
              <w:rPr>
                <w:b/>
              </w:rPr>
              <w:t xml:space="preserve">Data: </w:t>
            </w:r>
            <w:r w:rsidRPr="007C223A">
              <w:rPr>
                <w:bCs/>
                <w:i/>
              </w:rPr>
              <w:t>26/11/2012</w:t>
            </w:r>
          </w:p>
        </w:tc>
        <w:tc>
          <w:tcPr>
            <w:tcW w:w="4970" w:type="dxa"/>
            <w:tcBorders>
              <w:top w:val="single" w:sz="4" w:space="0" w:color="auto"/>
              <w:left w:val="single" w:sz="2" w:space="0" w:color="auto"/>
              <w:bottom w:val="single" w:sz="4" w:space="0" w:color="auto"/>
              <w:right w:val="single" w:sz="4" w:space="0" w:color="auto"/>
            </w:tcBorders>
          </w:tcPr>
          <w:p w:rsidR="00352923" w:rsidRPr="00986D90" w:rsidRDefault="00352923" w:rsidP="004837D0">
            <w:pPr>
              <w:spacing w:before="120" w:after="120"/>
              <w:ind w:left="70" w:right="-72"/>
              <w:rPr>
                <w:b/>
              </w:rPr>
            </w:pPr>
            <w:r w:rsidRPr="00986D90">
              <w:rPr>
                <w:b/>
              </w:rPr>
              <w:t>Local:</w:t>
            </w:r>
            <w:r w:rsidRPr="00986D90">
              <w:rPr>
                <w:bCs/>
              </w:rPr>
              <w:t xml:space="preserve"> </w:t>
            </w:r>
          </w:p>
        </w:tc>
        <w:tc>
          <w:tcPr>
            <w:tcW w:w="2598" w:type="dxa"/>
            <w:tcBorders>
              <w:top w:val="single" w:sz="4" w:space="0" w:color="auto"/>
              <w:left w:val="single" w:sz="4" w:space="0" w:color="auto"/>
              <w:bottom w:val="single" w:sz="4" w:space="0" w:color="auto"/>
              <w:right w:val="single" w:sz="4" w:space="0" w:color="auto"/>
            </w:tcBorders>
          </w:tcPr>
          <w:p w:rsidR="00352923" w:rsidRPr="00986D90" w:rsidRDefault="00352923" w:rsidP="00352923">
            <w:pPr>
              <w:spacing w:before="120" w:after="120"/>
              <w:rPr>
                <w:b/>
              </w:rPr>
            </w:pPr>
            <w:r w:rsidRPr="00986D90">
              <w:rPr>
                <w:b/>
              </w:rPr>
              <w:t>Horário:</w:t>
            </w:r>
            <w:r w:rsidRPr="00986D90">
              <w:rPr>
                <w:bCs/>
              </w:rPr>
              <w:t xml:space="preserve"> </w:t>
            </w:r>
            <w:r w:rsidRPr="007C223A">
              <w:rPr>
                <w:bCs/>
                <w:i/>
              </w:rPr>
              <w:t xml:space="preserve">15h </w:t>
            </w:r>
          </w:p>
        </w:tc>
      </w:tr>
      <w:tr w:rsidR="00352923" w:rsidTr="007C223A">
        <w:trPr>
          <w:jc w:val="center"/>
        </w:trPr>
        <w:tc>
          <w:tcPr>
            <w:tcW w:w="10144" w:type="dxa"/>
            <w:gridSpan w:val="3"/>
            <w:tcBorders>
              <w:top w:val="single" w:sz="4" w:space="0" w:color="auto"/>
              <w:left w:val="single" w:sz="4" w:space="0" w:color="auto"/>
              <w:bottom w:val="single" w:sz="2" w:space="0" w:color="auto"/>
              <w:right w:val="single" w:sz="4" w:space="0" w:color="auto"/>
            </w:tcBorders>
          </w:tcPr>
          <w:p w:rsidR="00352923" w:rsidRPr="00986D90" w:rsidRDefault="00352923" w:rsidP="004837D0">
            <w:pPr>
              <w:spacing w:before="120" w:after="120"/>
              <w:ind w:firstLine="212"/>
              <w:jc w:val="both"/>
            </w:pPr>
            <w:r w:rsidRPr="00986D90">
              <w:rPr>
                <w:b/>
              </w:rPr>
              <w:t>Participantes</w:t>
            </w:r>
            <w:r w:rsidRPr="00986D90">
              <w:t xml:space="preserve">: </w:t>
            </w:r>
            <w:bookmarkStart w:id="0" w:name="_GoBack"/>
            <w:bookmarkEnd w:id="0"/>
          </w:p>
        </w:tc>
      </w:tr>
    </w:tbl>
    <w:p w:rsidR="00352923" w:rsidRDefault="00352923" w:rsidP="009E5354">
      <w:pPr>
        <w:spacing w:line="244" w:lineRule="auto"/>
        <w:jc w:val="center"/>
        <w:rPr>
          <w:b/>
          <w:bCs/>
        </w:rPr>
      </w:pPr>
    </w:p>
    <w:p w:rsidR="00352923" w:rsidRDefault="00352923" w:rsidP="009E5354">
      <w:pPr>
        <w:spacing w:line="244" w:lineRule="auto"/>
        <w:jc w:val="center"/>
        <w:rPr>
          <w:b/>
          <w:bCs/>
        </w:rPr>
      </w:pPr>
    </w:p>
    <w:p w:rsidR="009E5354" w:rsidRPr="00825D74" w:rsidRDefault="009E5354" w:rsidP="009E5354">
      <w:pPr>
        <w:spacing w:line="244" w:lineRule="auto"/>
        <w:jc w:val="center"/>
        <w:rPr>
          <w:b/>
          <w:bCs/>
          <w:sz w:val="20"/>
          <w:szCs w:val="20"/>
        </w:rPr>
      </w:pPr>
      <w:r w:rsidRPr="00825D74">
        <w:rPr>
          <w:b/>
          <w:bCs/>
          <w:sz w:val="20"/>
          <w:szCs w:val="20"/>
        </w:rPr>
        <w:t>PARTE A – CONTEÚDO GERAL</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
        <w:gridCol w:w="5970"/>
        <w:gridCol w:w="1985"/>
        <w:gridCol w:w="1417"/>
      </w:tblGrid>
      <w:tr w:rsidR="00352923" w:rsidRPr="00825D74" w:rsidTr="00352923">
        <w:trPr>
          <w:cantSplit/>
          <w:trHeight w:val="1020"/>
          <w:tblHeader/>
        </w:trPr>
        <w:tc>
          <w:tcPr>
            <w:tcW w:w="311" w:type="pct"/>
            <w:shd w:val="clear" w:color="auto" w:fill="C0C0C0"/>
            <w:textDirection w:val="btLr"/>
            <w:vAlign w:val="center"/>
          </w:tcPr>
          <w:p w:rsidR="00352923" w:rsidRPr="00825D74" w:rsidRDefault="00352923" w:rsidP="00C70A4F">
            <w:pPr>
              <w:spacing w:line="244" w:lineRule="auto"/>
              <w:jc w:val="center"/>
              <w:rPr>
                <w:b/>
                <w:bCs/>
                <w:sz w:val="20"/>
                <w:szCs w:val="20"/>
              </w:rPr>
            </w:pPr>
            <w:r w:rsidRPr="00825D74">
              <w:rPr>
                <w:b/>
                <w:bCs/>
                <w:sz w:val="20"/>
                <w:szCs w:val="20"/>
              </w:rPr>
              <w:t>Item e Subitem</w:t>
            </w:r>
          </w:p>
        </w:tc>
        <w:tc>
          <w:tcPr>
            <w:tcW w:w="2987" w:type="pct"/>
            <w:shd w:val="clear" w:color="auto" w:fill="C0C0C0"/>
            <w:vAlign w:val="center"/>
          </w:tcPr>
          <w:p w:rsidR="00352923" w:rsidRPr="00825D74" w:rsidRDefault="00352923" w:rsidP="00C70A4F">
            <w:pPr>
              <w:spacing w:line="244" w:lineRule="auto"/>
              <w:jc w:val="center"/>
              <w:rPr>
                <w:b/>
                <w:bCs/>
                <w:sz w:val="20"/>
                <w:szCs w:val="20"/>
              </w:rPr>
            </w:pPr>
            <w:r w:rsidRPr="00825D74">
              <w:rPr>
                <w:b/>
                <w:bCs/>
                <w:sz w:val="20"/>
                <w:szCs w:val="20"/>
              </w:rPr>
              <w:t xml:space="preserve">A. INFORMAÇÕES GERAIS SOBRE A </w:t>
            </w:r>
            <w:proofErr w:type="gramStart"/>
            <w:r w:rsidRPr="00825D74">
              <w:rPr>
                <w:b/>
                <w:bCs/>
                <w:sz w:val="20"/>
                <w:szCs w:val="20"/>
              </w:rPr>
              <w:t>GESTÃO</w:t>
            </w:r>
            <w:proofErr w:type="gramEnd"/>
          </w:p>
        </w:tc>
        <w:tc>
          <w:tcPr>
            <w:tcW w:w="993" w:type="pct"/>
            <w:shd w:val="clear" w:color="auto" w:fill="C0C0C0"/>
          </w:tcPr>
          <w:p w:rsidR="00352923" w:rsidRPr="00825D74" w:rsidRDefault="00352923" w:rsidP="00C70A4F">
            <w:pPr>
              <w:spacing w:line="244" w:lineRule="auto"/>
              <w:jc w:val="center"/>
              <w:rPr>
                <w:b/>
                <w:bCs/>
                <w:sz w:val="20"/>
                <w:szCs w:val="20"/>
              </w:rPr>
            </w:pPr>
            <w:r w:rsidRPr="00825D74">
              <w:rPr>
                <w:b/>
                <w:bCs/>
                <w:sz w:val="20"/>
                <w:szCs w:val="20"/>
              </w:rPr>
              <w:t>Responsável</w:t>
            </w:r>
          </w:p>
        </w:tc>
        <w:tc>
          <w:tcPr>
            <w:tcW w:w="709" w:type="pct"/>
            <w:shd w:val="clear" w:color="auto" w:fill="C0C0C0"/>
          </w:tcPr>
          <w:p w:rsidR="00352923" w:rsidRPr="00825D74" w:rsidRDefault="00352923" w:rsidP="00C70A4F">
            <w:pPr>
              <w:spacing w:line="244" w:lineRule="auto"/>
              <w:jc w:val="center"/>
              <w:rPr>
                <w:b/>
                <w:bCs/>
                <w:sz w:val="20"/>
                <w:szCs w:val="20"/>
              </w:rPr>
            </w:pPr>
            <w:r w:rsidRPr="00825D74">
              <w:rPr>
                <w:b/>
                <w:bCs/>
                <w:sz w:val="20"/>
                <w:szCs w:val="20"/>
              </w:rPr>
              <w:t>Prazo</w:t>
            </w:r>
          </w:p>
        </w:tc>
      </w:tr>
      <w:tr w:rsidR="00352923" w:rsidRPr="00825D74" w:rsidTr="00352923">
        <w:trPr>
          <w:cantSplit/>
        </w:trPr>
        <w:tc>
          <w:tcPr>
            <w:tcW w:w="5000" w:type="pct"/>
            <w:gridSpan w:val="4"/>
            <w:shd w:val="clear" w:color="auto" w:fill="F2F2F2"/>
            <w:vAlign w:val="center"/>
          </w:tcPr>
          <w:p w:rsidR="00352923" w:rsidRPr="00825D74" w:rsidRDefault="00352923" w:rsidP="00C70A4F">
            <w:pPr>
              <w:spacing w:line="244" w:lineRule="auto"/>
              <w:rPr>
                <w:b/>
                <w:sz w:val="20"/>
                <w:szCs w:val="20"/>
              </w:rPr>
            </w:pPr>
            <w:r w:rsidRPr="00825D74">
              <w:rPr>
                <w:b/>
                <w:sz w:val="20"/>
                <w:szCs w:val="20"/>
              </w:rPr>
              <w:t>1.</w:t>
            </w:r>
            <w:r w:rsidRPr="00825D74">
              <w:rPr>
                <w:b/>
                <w:sz w:val="20"/>
                <w:szCs w:val="20"/>
              </w:rPr>
              <w:tab/>
              <w:t xml:space="preserve">IDENTIFICAÇÃO E ATRIBUTOS DAS UNIDADES CUJAS GESTÕES COMPÕEM O </w:t>
            </w:r>
            <w:proofErr w:type="gramStart"/>
            <w:r w:rsidRPr="00825D74">
              <w:rPr>
                <w:b/>
                <w:sz w:val="20"/>
                <w:szCs w:val="20"/>
              </w:rPr>
              <w:t>RELATÓRIO</w:t>
            </w:r>
            <w:proofErr w:type="gramEnd"/>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1.1.</w:t>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 xml:space="preserve">Identificação da unidade jurisdicionada, contendo: Poder e órgão de vinculação ou supervisão; nome completo; denominação abreviada; código SIORG; código na LOA; situação operacional; natureza jurídica; principal atividade econômica; telefones de contato, endereço postal; endereço eletrônico; página na </w:t>
            </w:r>
            <w:r w:rsidRPr="00825D74">
              <w:rPr>
                <w:iCs/>
                <w:sz w:val="20"/>
                <w:szCs w:val="20"/>
              </w:rPr>
              <w:t>internet</w:t>
            </w:r>
            <w:r w:rsidRPr="00825D74">
              <w:rPr>
                <w:sz w:val="20"/>
                <w:szCs w:val="20"/>
              </w:rPr>
              <w:t>; normas de criação; normas relacionadas à gestão e estrutura; manuais e publicações relacionadas às atividades da unidade; códigos e nomes das unidades gestoras e gestões no Sistema SIAFI.</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1.2.</w:t>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Finalidade e competências institucionais da unidade jurisdicionada definidas na Constituição Federal, em leis infraconstitucionais e em normas regimentais, identificando cada instância normativa.</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1.3.</w:t>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 xml:space="preserve">Apresentação do organograma funcional com descrição sucinta das competências e das atribuições das áreas, departamentos, seções, etc. que compõem os níveis estratégico e tático da estrutura organizacional da unidade, assim como a identificação dos macroprocessos pelos quais cada uma dessas subdivisões </w:t>
            </w:r>
            <w:proofErr w:type="gramStart"/>
            <w:r w:rsidRPr="00825D74">
              <w:rPr>
                <w:sz w:val="20"/>
                <w:szCs w:val="20"/>
              </w:rPr>
              <w:t>são responsáveis</w:t>
            </w:r>
            <w:proofErr w:type="gramEnd"/>
            <w:r w:rsidRPr="00825D74">
              <w:rPr>
                <w:sz w:val="20"/>
                <w:szCs w:val="20"/>
              </w:rPr>
              <w:t xml:space="preserve"> e os principais produtos deles decorrentes.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1.4.</w:t>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 xml:space="preserve">Macroprocessos finalísticos da unidade jurisdicionada, com a indicação dos principais produtos e serviços que tais processos devem oferecer aos cidadãos-usuários ou clientes. </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1.5.</w:t>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Principais macroprocessos de apoio ao exercício das competências e finalidades da unidade jurisdicionada.</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1.6.</w:t>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Principais parceiros (externos à unidade jurisdicionada, da administração pública ou da iniciativa privada) relacionados aos macroprocessos finalísticos da unidade.</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304"/>
        </w:trPr>
        <w:tc>
          <w:tcPr>
            <w:tcW w:w="3298" w:type="pct"/>
            <w:gridSpan w:val="2"/>
            <w:shd w:val="clear" w:color="auto" w:fill="F2F2F2"/>
            <w:vAlign w:val="center"/>
          </w:tcPr>
          <w:p w:rsidR="00352923" w:rsidRPr="00825D74" w:rsidRDefault="00352923" w:rsidP="00C70A4F">
            <w:pPr>
              <w:spacing w:line="244" w:lineRule="auto"/>
              <w:rPr>
                <w:b/>
                <w:sz w:val="20"/>
                <w:szCs w:val="20"/>
              </w:rPr>
            </w:pPr>
            <w:r w:rsidRPr="00825D74">
              <w:rPr>
                <w:b/>
                <w:sz w:val="20"/>
                <w:szCs w:val="20"/>
              </w:rPr>
              <w:t>2.</w:t>
            </w:r>
            <w:r w:rsidRPr="00825D74">
              <w:rPr>
                <w:b/>
                <w:sz w:val="20"/>
                <w:szCs w:val="20"/>
              </w:rPr>
              <w:tab/>
              <w:t xml:space="preserve">PLANEJAMENTO ESTRATÉGICO, PLANO DE METAS E DE </w:t>
            </w:r>
            <w:proofErr w:type="gramStart"/>
            <w:r w:rsidRPr="00825D74">
              <w:rPr>
                <w:b/>
                <w:sz w:val="20"/>
                <w:szCs w:val="20"/>
              </w:rPr>
              <w:t>AÇÕES</w:t>
            </w:r>
            <w:proofErr w:type="gramEnd"/>
          </w:p>
        </w:tc>
        <w:tc>
          <w:tcPr>
            <w:tcW w:w="993" w:type="pct"/>
            <w:shd w:val="clear" w:color="auto" w:fill="F2F2F2"/>
          </w:tcPr>
          <w:p w:rsidR="00352923" w:rsidRPr="00825D74" w:rsidRDefault="00352923" w:rsidP="00C70A4F">
            <w:pPr>
              <w:spacing w:line="244" w:lineRule="auto"/>
              <w:rPr>
                <w:b/>
                <w:sz w:val="20"/>
                <w:szCs w:val="20"/>
              </w:rPr>
            </w:pPr>
          </w:p>
        </w:tc>
        <w:tc>
          <w:tcPr>
            <w:tcW w:w="709" w:type="pct"/>
            <w:shd w:val="clear" w:color="auto" w:fill="F2F2F2"/>
          </w:tcPr>
          <w:p w:rsidR="00352923" w:rsidRPr="00825D74" w:rsidRDefault="00352923" w:rsidP="00C70A4F">
            <w:pPr>
              <w:spacing w:line="244" w:lineRule="auto"/>
              <w:rPr>
                <w:b/>
                <w:sz w:val="20"/>
                <w:szCs w:val="20"/>
              </w:rPr>
            </w:pPr>
          </w:p>
        </w:tc>
      </w:tr>
      <w:tr w:rsidR="00352923" w:rsidRPr="00825D74" w:rsidTr="00352923">
        <w:trPr>
          <w:cantSplit/>
          <w:trHeight w:val="858"/>
        </w:trPr>
        <w:tc>
          <w:tcPr>
            <w:tcW w:w="311" w:type="pct"/>
            <w:vAlign w:val="center"/>
          </w:tcPr>
          <w:p w:rsidR="00352923" w:rsidRPr="00825D74" w:rsidRDefault="00352923" w:rsidP="00C70A4F">
            <w:pPr>
              <w:spacing w:line="244" w:lineRule="auto"/>
              <w:rPr>
                <w:sz w:val="20"/>
                <w:szCs w:val="20"/>
              </w:rPr>
            </w:pPr>
            <w:r w:rsidRPr="00825D74">
              <w:rPr>
                <w:sz w:val="20"/>
                <w:szCs w:val="20"/>
              </w:rPr>
              <w:lastRenderedPageBreak/>
              <w:t>2.1.</w:t>
            </w:r>
          </w:p>
        </w:tc>
        <w:tc>
          <w:tcPr>
            <w:tcW w:w="2987" w:type="pct"/>
          </w:tcPr>
          <w:p w:rsidR="00352923" w:rsidRPr="00825D74" w:rsidRDefault="00352923" w:rsidP="00C70A4F">
            <w:pPr>
              <w:spacing w:line="244" w:lineRule="auto"/>
              <w:jc w:val="both"/>
              <w:rPr>
                <w:sz w:val="20"/>
                <w:szCs w:val="20"/>
              </w:rPr>
            </w:pPr>
            <w:r w:rsidRPr="00825D74">
              <w:rPr>
                <w:sz w:val="20"/>
                <w:szCs w:val="20"/>
              </w:rPr>
              <w:t>Informações sobre o planejamento estratégico da unidade, contemplando:</w:t>
            </w:r>
          </w:p>
          <w:p w:rsidR="00352923" w:rsidRPr="00825D74" w:rsidRDefault="00352923" w:rsidP="00C70A4F">
            <w:pPr>
              <w:spacing w:line="244" w:lineRule="auto"/>
              <w:jc w:val="both"/>
              <w:rPr>
                <w:sz w:val="20"/>
                <w:szCs w:val="20"/>
              </w:rPr>
            </w:pPr>
            <w:r w:rsidRPr="00825D74">
              <w:rPr>
                <w:sz w:val="20"/>
                <w:szCs w:val="20"/>
              </w:rPr>
              <w:t>a) Período de abrangência do plano estratégico</w:t>
            </w:r>
            <w:proofErr w:type="gramStart"/>
            <w:r w:rsidRPr="00825D74">
              <w:rPr>
                <w:sz w:val="20"/>
                <w:szCs w:val="20"/>
              </w:rPr>
              <w:t>, se houver</w:t>
            </w:r>
            <w:proofErr w:type="gramEnd"/>
            <w:r w:rsidRPr="00825D74">
              <w:rPr>
                <w:sz w:val="20"/>
                <w:szCs w:val="20"/>
              </w:rPr>
              <w:t>;</w:t>
            </w:r>
          </w:p>
          <w:p w:rsidR="00352923" w:rsidRPr="00825D74" w:rsidRDefault="00352923" w:rsidP="00C70A4F">
            <w:pPr>
              <w:spacing w:line="244" w:lineRule="auto"/>
              <w:jc w:val="both"/>
              <w:rPr>
                <w:sz w:val="20"/>
                <w:szCs w:val="20"/>
              </w:rPr>
            </w:pPr>
            <w:r w:rsidRPr="00825D74">
              <w:rPr>
                <w:sz w:val="20"/>
                <w:szCs w:val="20"/>
              </w:rPr>
              <w:t>b) Demonstração da vinculação do plano estratégico da unidade com suas competências constitucionais, legais ou normativas;</w:t>
            </w:r>
          </w:p>
          <w:p w:rsidR="00352923" w:rsidRPr="00825D74" w:rsidRDefault="00352923" w:rsidP="00C70A4F">
            <w:pPr>
              <w:spacing w:line="244" w:lineRule="auto"/>
              <w:jc w:val="both"/>
              <w:rPr>
                <w:sz w:val="20"/>
                <w:szCs w:val="20"/>
              </w:rPr>
            </w:pPr>
            <w:r w:rsidRPr="00825D74">
              <w:rPr>
                <w:sz w:val="20"/>
                <w:szCs w:val="20"/>
              </w:rPr>
              <w:t>c) Demonstração da vinculação do plano estratégico da unidade com o Plano Plurianual (PPA) do Governo Federal, identificando os Programas Temáticos, os Objetivos, as Iniciativas e os Programas de Gestão, Manutenção e Serviços ao Estado do Plano Plurianual vigente em que estejam inseridas ações de responsabilidade da unidade;</w:t>
            </w:r>
          </w:p>
          <w:p w:rsidR="00352923" w:rsidRPr="00825D74" w:rsidRDefault="00352923" w:rsidP="00C70A4F">
            <w:pPr>
              <w:spacing w:line="244" w:lineRule="auto"/>
              <w:jc w:val="both"/>
              <w:rPr>
                <w:sz w:val="20"/>
                <w:szCs w:val="20"/>
              </w:rPr>
            </w:pPr>
            <w:r w:rsidRPr="00825D74">
              <w:rPr>
                <w:sz w:val="20"/>
                <w:szCs w:val="20"/>
              </w:rPr>
              <w:t>d) Se a unidade jurisdicionada estiver inserida no contexto de planejamento estratégico maior (de um órgão ou ministério, por exemplo), demonstração dos objetivos estratégicos, dos processos e dos produtos desse planejamento estratégico aos quais se vincula;</w:t>
            </w:r>
          </w:p>
          <w:p w:rsidR="00352923" w:rsidRPr="00825D74" w:rsidRDefault="00352923" w:rsidP="00C70A4F">
            <w:pPr>
              <w:spacing w:line="244" w:lineRule="auto"/>
              <w:jc w:val="both"/>
              <w:rPr>
                <w:sz w:val="20"/>
                <w:szCs w:val="20"/>
              </w:rPr>
            </w:pPr>
            <w:r w:rsidRPr="00825D74">
              <w:rPr>
                <w:sz w:val="20"/>
                <w:szCs w:val="20"/>
              </w:rPr>
              <w:t>e) Principais objetivos estratégicos traçados para a unidade para o exercício de referência do relatório de gestão;</w:t>
            </w:r>
          </w:p>
          <w:p w:rsidR="00352923" w:rsidRPr="00825D74" w:rsidRDefault="00352923" w:rsidP="00C70A4F">
            <w:pPr>
              <w:spacing w:line="244" w:lineRule="auto"/>
              <w:jc w:val="both"/>
              <w:rPr>
                <w:sz w:val="20"/>
                <w:szCs w:val="20"/>
              </w:rPr>
            </w:pPr>
            <w:r w:rsidRPr="00825D74">
              <w:rPr>
                <w:sz w:val="20"/>
                <w:szCs w:val="20"/>
              </w:rPr>
              <w:t>f) Principais ações planejadas para que a unidade pudesse atingir, no exercício de referência, os objetivos estratégicos estabelecidos.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1126"/>
        </w:trPr>
        <w:tc>
          <w:tcPr>
            <w:tcW w:w="311" w:type="pct"/>
            <w:vAlign w:val="center"/>
          </w:tcPr>
          <w:p w:rsidR="00352923" w:rsidRPr="00825D74" w:rsidRDefault="00352923" w:rsidP="00C70A4F">
            <w:pPr>
              <w:spacing w:line="244" w:lineRule="auto"/>
              <w:rPr>
                <w:sz w:val="20"/>
                <w:szCs w:val="20"/>
              </w:rPr>
            </w:pPr>
            <w:r w:rsidRPr="00825D74">
              <w:rPr>
                <w:sz w:val="20"/>
                <w:szCs w:val="20"/>
              </w:rPr>
              <w:t>2.2.</w:t>
            </w:r>
          </w:p>
        </w:tc>
        <w:tc>
          <w:tcPr>
            <w:tcW w:w="2987" w:type="pct"/>
          </w:tcPr>
          <w:p w:rsidR="00352923" w:rsidRPr="00825D74" w:rsidRDefault="00352923" w:rsidP="00C70A4F">
            <w:pPr>
              <w:spacing w:line="244" w:lineRule="auto"/>
              <w:jc w:val="both"/>
              <w:rPr>
                <w:sz w:val="20"/>
                <w:szCs w:val="20"/>
              </w:rPr>
            </w:pPr>
            <w:r w:rsidRPr="00825D74">
              <w:rPr>
                <w:sz w:val="20"/>
                <w:szCs w:val="20"/>
              </w:rPr>
              <w:t>Informações sobre as estratégias adotadas pela unidade para atingir os objetivos estratégicos do exercício de referência do relatório de gestão, especialmente sobre:</w:t>
            </w:r>
          </w:p>
          <w:p w:rsidR="00352923" w:rsidRPr="00825D74" w:rsidRDefault="00352923" w:rsidP="00C70A4F">
            <w:pPr>
              <w:spacing w:line="244" w:lineRule="auto"/>
              <w:jc w:val="both"/>
              <w:rPr>
                <w:sz w:val="20"/>
                <w:szCs w:val="20"/>
              </w:rPr>
            </w:pPr>
            <w:r w:rsidRPr="00825D74">
              <w:rPr>
                <w:sz w:val="20"/>
                <w:szCs w:val="20"/>
              </w:rPr>
              <w:t>a) Avaliação dos riscos que poderiam impedir ou prejudicar o cumprimento dos objetivos estratégicos do exercício de referência das contas;</w:t>
            </w:r>
          </w:p>
          <w:p w:rsidR="00352923" w:rsidRPr="00825D74" w:rsidRDefault="00352923" w:rsidP="00C70A4F">
            <w:pPr>
              <w:spacing w:line="244" w:lineRule="auto"/>
              <w:jc w:val="both"/>
              <w:rPr>
                <w:sz w:val="20"/>
                <w:szCs w:val="20"/>
              </w:rPr>
            </w:pPr>
            <w:r w:rsidRPr="00825D74">
              <w:rPr>
                <w:sz w:val="20"/>
                <w:szCs w:val="20"/>
              </w:rPr>
              <w:t>b) Revisão de macroprocessos internos da unidade, caso tenha sido necessária;</w:t>
            </w:r>
          </w:p>
          <w:p w:rsidR="00352923" w:rsidRPr="00825D74" w:rsidRDefault="00352923" w:rsidP="00C70A4F">
            <w:pPr>
              <w:spacing w:line="244" w:lineRule="auto"/>
              <w:jc w:val="both"/>
              <w:rPr>
                <w:sz w:val="20"/>
                <w:szCs w:val="20"/>
              </w:rPr>
            </w:pPr>
            <w:r w:rsidRPr="00825D74">
              <w:rPr>
                <w:sz w:val="20"/>
                <w:szCs w:val="20"/>
              </w:rPr>
              <w:t>c) Adequações nas estruturas de pessoal, tecnológica, imobiliária, etc., caso tenham sido necessárias ao desenvolvimento dos objetivos estratégicos;</w:t>
            </w:r>
          </w:p>
          <w:p w:rsidR="00352923" w:rsidRPr="00825D74" w:rsidRDefault="00352923" w:rsidP="00C70A4F">
            <w:pPr>
              <w:spacing w:line="244" w:lineRule="auto"/>
              <w:jc w:val="both"/>
              <w:rPr>
                <w:sz w:val="20"/>
                <w:szCs w:val="20"/>
              </w:rPr>
            </w:pPr>
            <w:r w:rsidRPr="00825D74">
              <w:rPr>
                <w:sz w:val="20"/>
                <w:szCs w:val="20"/>
              </w:rPr>
              <w:t>d) Estratégias de divulgação interna dos objetivos traçados e dos resultados alcançados;</w:t>
            </w:r>
          </w:p>
          <w:p w:rsidR="00352923" w:rsidRPr="00825D74" w:rsidRDefault="00352923" w:rsidP="00C70A4F">
            <w:pPr>
              <w:spacing w:line="244" w:lineRule="auto"/>
              <w:jc w:val="both"/>
              <w:rPr>
                <w:sz w:val="20"/>
                <w:szCs w:val="20"/>
              </w:rPr>
            </w:pPr>
            <w:r w:rsidRPr="00825D74">
              <w:rPr>
                <w:sz w:val="20"/>
                <w:szCs w:val="20"/>
              </w:rPr>
              <w:t>e) Outras estratégias consideradas relevantes pelos gestores da unidade para o atingimento dos objetivos estratégicos.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1126"/>
        </w:trPr>
        <w:tc>
          <w:tcPr>
            <w:tcW w:w="311" w:type="pct"/>
            <w:vAlign w:val="center"/>
          </w:tcPr>
          <w:p w:rsidR="00352923" w:rsidRPr="00825D74" w:rsidRDefault="00352923" w:rsidP="00C70A4F">
            <w:pPr>
              <w:spacing w:line="244" w:lineRule="auto"/>
              <w:rPr>
                <w:sz w:val="20"/>
                <w:szCs w:val="20"/>
              </w:rPr>
            </w:pPr>
            <w:r w:rsidRPr="00825D74">
              <w:rPr>
                <w:sz w:val="20"/>
                <w:szCs w:val="20"/>
              </w:rPr>
              <w:t>2.3.</w:t>
            </w:r>
          </w:p>
        </w:tc>
        <w:tc>
          <w:tcPr>
            <w:tcW w:w="2987" w:type="pct"/>
          </w:tcPr>
          <w:p w:rsidR="00352923" w:rsidRPr="00825D74" w:rsidRDefault="00352923" w:rsidP="00C70A4F">
            <w:pPr>
              <w:spacing w:line="244" w:lineRule="auto"/>
              <w:jc w:val="both"/>
              <w:rPr>
                <w:sz w:val="20"/>
                <w:szCs w:val="20"/>
              </w:rPr>
            </w:pPr>
            <w:r w:rsidRPr="00825D74">
              <w:rPr>
                <w:sz w:val="20"/>
                <w:szCs w:val="20"/>
              </w:rPr>
              <w:t>Demonstração da execução do plano de metas ou de ações para o exercício, informando, por exemplo:</w:t>
            </w:r>
          </w:p>
          <w:p w:rsidR="00352923" w:rsidRPr="00825D74" w:rsidRDefault="00352923" w:rsidP="00C70A4F">
            <w:pPr>
              <w:spacing w:line="244" w:lineRule="auto"/>
              <w:jc w:val="both"/>
              <w:rPr>
                <w:sz w:val="20"/>
                <w:szCs w:val="20"/>
              </w:rPr>
            </w:pPr>
            <w:r w:rsidRPr="00825D74">
              <w:rPr>
                <w:sz w:val="20"/>
                <w:szCs w:val="20"/>
              </w:rPr>
              <w:t>a) Resultado das ações planejadas, explicitando em que medida as ações foram executadas;</w:t>
            </w:r>
          </w:p>
          <w:p w:rsidR="00352923" w:rsidRPr="00825D74" w:rsidRDefault="00352923" w:rsidP="00C70A4F">
            <w:pPr>
              <w:spacing w:line="244" w:lineRule="auto"/>
              <w:jc w:val="both"/>
              <w:rPr>
                <w:sz w:val="20"/>
                <w:szCs w:val="20"/>
              </w:rPr>
            </w:pPr>
            <w:r w:rsidRPr="00825D74">
              <w:rPr>
                <w:sz w:val="20"/>
                <w:szCs w:val="20"/>
              </w:rPr>
              <w:t>b) Justificativas para a não execução de ações ou não atingimento de metas</w:t>
            </w:r>
            <w:proofErr w:type="gramStart"/>
            <w:r w:rsidRPr="00825D74">
              <w:rPr>
                <w:sz w:val="20"/>
                <w:szCs w:val="20"/>
              </w:rPr>
              <w:t>, se for</w:t>
            </w:r>
            <w:proofErr w:type="gramEnd"/>
            <w:r w:rsidRPr="00825D74">
              <w:rPr>
                <w:sz w:val="20"/>
                <w:szCs w:val="20"/>
              </w:rPr>
              <w:t xml:space="preserve"> o caso;</w:t>
            </w:r>
          </w:p>
          <w:p w:rsidR="00352923" w:rsidRPr="00825D74" w:rsidRDefault="00352923" w:rsidP="00C70A4F">
            <w:pPr>
              <w:spacing w:line="244" w:lineRule="auto"/>
              <w:jc w:val="both"/>
              <w:rPr>
                <w:sz w:val="20"/>
                <w:szCs w:val="20"/>
              </w:rPr>
            </w:pPr>
            <w:r w:rsidRPr="00825D74">
              <w:rPr>
                <w:sz w:val="20"/>
                <w:szCs w:val="20"/>
              </w:rPr>
              <w:t>c) Impactos dos resultados das ações nos objetivos estratégicos da unidade.</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721"/>
        </w:trPr>
        <w:tc>
          <w:tcPr>
            <w:tcW w:w="311" w:type="pct"/>
            <w:vAlign w:val="center"/>
          </w:tcPr>
          <w:p w:rsidR="00352923" w:rsidRPr="00825D74" w:rsidRDefault="00352923" w:rsidP="00C70A4F">
            <w:pPr>
              <w:spacing w:line="244" w:lineRule="auto"/>
              <w:rPr>
                <w:sz w:val="20"/>
                <w:szCs w:val="20"/>
              </w:rPr>
            </w:pPr>
            <w:r w:rsidRPr="00825D74">
              <w:rPr>
                <w:sz w:val="20"/>
                <w:szCs w:val="20"/>
              </w:rPr>
              <w:t>2.4.</w:t>
            </w:r>
          </w:p>
        </w:tc>
        <w:tc>
          <w:tcPr>
            <w:tcW w:w="2987" w:type="pct"/>
          </w:tcPr>
          <w:p w:rsidR="00352923" w:rsidRPr="00825D74" w:rsidRDefault="00352923" w:rsidP="00C70A4F">
            <w:pPr>
              <w:spacing w:line="244" w:lineRule="auto"/>
              <w:jc w:val="both"/>
              <w:rPr>
                <w:sz w:val="20"/>
                <w:szCs w:val="20"/>
              </w:rPr>
            </w:pPr>
            <w:r w:rsidRPr="00825D74">
              <w:rPr>
                <w:sz w:val="20"/>
                <w:szCs w:val="20"/>
              </w:rPr>
              <w:t>Informações sobre indicadores utilizados pela unidade jurisdicionada para monitorar e avaliar a gestão, acompanhar o alcance das metas, identificar os avanços e as melhorias na qualidade dos serviços prestados, identificar necessidade de correções e de mudanças de rumos, etc.</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spacing w:line="244" w:lineRule="auto"/>
              <w:rPr>
                <w:b/>
                <w:sz w:val="20"/>
                <w:szCs w:val="20"/>
              </w:rPr>
            </w:pPr>
            <w:r w:rsidRPr="00825D74">
              <w:rPr>
                <w:b/>
                <w:sz w:val="20"/>
                <w:szCs w:val="20"/>
              </w:rPr>
              <w:t>3.</w:t>
            </w:r>
            <w:r w:rsidRPr="00825D74">
              <w:rPr>
                <w:b/>
                <w:sz w:val="20"/>
                <w:szCs w:val="20"/>
              </w:rPr>
              <w:tab/>
              <w:t xml:space="preserve">ESTRUTURAS DE GOVERNANÇA E DE AUTOCONTROLE DA </w:t>
            </w:r>
            <w:proofErr w:type="gramStart"/>
            <w:r w:rsidRPr="00825D74">
              <w:rPr>
                <w:b/>
                <w:sz w:val="20"/>
                <w:szCs w:val="20"/>
              </w:rPr>
              <w:t>GESTÃO</w:t>
            </w:r>
            <w:proofErr w:type="gramEnd"/>
          </w:p>
        </w:tc>
        <w:tc>
          <w:tcPr>
            <w:tcW w:w="993" w:type="pct"/>
            <w:shd w:val="clear" w:color="auto" w:fill="F2F2F2"/>
          </w:tcPr>
          <w:p w:rsidR="00352923" w:rsidRPr="00825D74" w:rsidRDefault="00352923" w:rsidP="00C70A4F">
            <w:pPr>
              <w:spacing w:line="244" w:lineRule="auto"/>
              <w:rPr>
                <w:b/>
                <w:sz w:val="20"/>
                <w:szCs w:val="20"/>
              </w:rPr>
            </w:pPr>
          </w:p>
        </w:tc>
        <w:tc>
          <w:tcPr>
            <w:tcW w:w="709" w:type="pct"/>
            <w:shd w:val="clear" w:color="auto" w:fill="F2F2F2"/>
          </w:tcPr>
          <w:p w:rsidR="00352923" w:rsidRPr="00825D74" w:rsidRDefault="00352923" w:rsidP="00C70A4F">
            <w:pPr>
              <w:spacing w:line="244" w:lineRule="auto"/>
              <w:rPr>
                <w:b/>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3.1.</w:t>
            </w:r>
          </w:p>
        </w:tc>
        <w:tc>
          <w:tcPr>
            <w:tcW w:w="2987" w:type="pct"/>
          </w:tcPr>
          <w:p w:rsidR="00352923" w:rsidRPr="00825D74" w:rsidRDefault="00352923" w:rsidP="00C70A4F">
            <w:pPr>
              <w:spacing w:line="244" w:lineRule="auto"/>
              <w:jc w:val="both"/>
              <w:rPr>
                <w:sz w:val="20"/>
                <w:szCs w:val="20"/>
              </w:rPr>
            </w:pPr>
            <w:r w:rsidRPr="00825D74">
              <w:rPr>
                <w:sz w:val="20"/>
                <w:szCs w:val="20"/>
              </w:rPr>
              <w:t xml:space="preserve">Informações sobre a estrutura orgânica de controle no âmbito da unidade jurisdicionada ou do órgão a que se </w:t>
            </w:r>
            <w:proofErr w:type="gramStart"/>
            <w:r w:rsidRPr="00825D74">
              <w:rPr>
                <w:sz w:val="20"/>
                <w:szCs w:val="20"/>
              </w:rPr>
              <w:t>vincula</w:t>
            </w:r>
            <w:proofErr w:type="gramEnd"/>
            <w:r w:rsidRPr="00825D74">
              <w:rPr>
                <w:sz w:val="20"/>
                <w:szCs w:val="20"/>
              </w:rPr>
              <w:t xml:space="preserve">, tais como unidade de auditoria ou de controle interno, conselhos fiscais, comitês de avaliações, etc. descrevendo de maneira sucinta a base normativa, as atribuições e a forma de atuação de cada instância de controle. </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lastRenderedPageBreak/>
              <w:t>3.2.</w:t>
            </w:r>
          </w:p>
        </w:tc>
        <w:tc>
          <w:tcPr>
            <w:tcW w:w="2987" w:type="pct"/>
          </w:tcPr>
          <w:p w:rsidR="00352923" w:rsidRPr="00825D74" w:rsidRDefault="00352923" w:rsidP="00C70A4F">
            <w:pPr>
              <w:spacing w:line="244" w:lineRule="auto"/>
              <w:jc w:val="both"/>
              <w:rPr>
                <w:sz w:val="20"/>
                <w:szCs w:val="20"/>
              </w:rPr>
            </w:pPr>
            <w:r w:rsidRPr="00825D74">
              <w:rPr>
                <w:sz w:val="20"/>
                <w:szCs w:val="20"/>
              </w:rPr>
              <w:t>Informações sobre o funcionamento do sistema de controle interno da UJ, contemplando os seguintes elementos:</w:t>
            </w:r>
          </w:p>
          <w:p w:rsidR="00352923" w:rsidRPr="00825D74" w:rsidRDefault="00352923" w:rsidP="00C70A4F">
            <w:pPr>
              <w:spacing w:line="244" w:lineRule="auto"/>
              <w:jc w:val="both"/>
              <w:rPr>
                <w:sz w:val="20"/>
                <w:szCs w:val="20"/>
              </w:rPr>
            </w:pPr>
            <w:r w:rsidRPr="00825D74">
              <w:rPr>
                <w:sz w:val="20"/>
                <w:szCs w:val="20"/>
              </w:rPr>
              <w:t>a) Ambiente de controle;</w:t>
            </w:r>
          </w:p>
          <w:p w:rsidR="00352923" w:rsidRPr="00825D74" w:rsidRDefault="00352923" w:rsidP="00C70A4F">
            <w:pPr>
              <w:spacing w:line="244" w:lineRule="auto"/>
              <w:jc w:val="both"/>
              <w:rPr>
                <w:sz w:val="20"/>
                <w:szCs w:val="20"/>
              </w:rPr>
            </w:pPr>
            <w:r w:rsidRPr="00825D74">
              <w:rPr>
                <w:sz w:val="20"/>
                <w:szCs w:val="20"/>
              </w:rPr>
              <w:t>b) Avaliação de risco;</w:t>
            </w:r>
          </w:p>
          <w:p w:rsidR="00352923" w:rsidRPr="00825D74" w:rsidRDefault="00352923" w:rsidP="00C70A4F">
            <w:pPr>
              <w:spacing w:line="244" w:lineRule="auto"/>
              <w:jc w:val="both"/>
              <w:rPr>
                <w:sz w:val="20"/>
                <w:szCs w:val="20"/>
              </w:rPr>
            </w:pPr>
            <w:r w:rsidRPr="00825D74">
              <w:rPr>
                <w:sz w:val="20"/>
                <w:szCs w:val="20"/>
              </w:rPr>
              <w:t>c) Atividades de controle;</w:t>
            </w:r>
          </w:p>
          <w:p w:rsidR="00352923" w:rsidRPr="00825D74" w:rsidRDefault="00352923" w:rsidP="00C70A4F">
            <w:pPr>
              <w:spacing w:line="244" w:lineRule="auto"/>
              <w:jc w:val="both"/>
              <w:rPr>
                <w:sz w:val="20"/>
                <w:szCs w:val="20"/>
              </w:rPr>
            </w:pPr>
            <w:r w:rsidRPr="00825D74">
              <w:rPr>
                <w:sz w:val="20"/>
                <w:szCs w:val="20"/>
              </w:rPr>
              <w:t>d) Informação e Comunicação;</w:t>
            </w:r>
          </w:p>
          <w:p w:rsidR="00352923" w:rsidRPr="00825D74" w:rsidRDefault="00352923" w:rsidP="00C70A4F">
            <w:pPr>
              <w:spacing w:line="244" w:lineRule="auto"/>
              <w:jc w:val="both"/>
              <w:rPr>
                <w:sz w:val="20"/>
                <w:szCs w:val="20"/>
              </w:rPr>
            </w:pPr>
            <w:r w:rsidRPr="00825D74">
              <w:rPr>
                <w:sz w:val="20"/>
                <w:szCs w:val="20"/>
              </w:rPr>
              <w:t>e) Monitoramento.</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3.4.</w:t>
            </w:r>
          </w:p>
        </w:tc>
        <w:tc>
          <w:tcPr>
            <w:tcW w:w="2987" w:type="pct"/>
          </w:tcPr>
          <w:p w:rsidR="00352923" w:rsidRPr="00825D74" w:rsidRDefault="00352923" w:rsidP="00C70A4F">
            <w:pPr>
              <w:spacing w:line="244" w:lineRule="auto"/>
              <w:jc w:val="both"/>
              <w:rPr>
                <w:sz w:val="20"/>
                <w:szCs w:val="20"/>
              </w:rPr>
            </w:pPr>
            <w:r w:rsidRPr="00825D74">
              <w:rPr>
                <w:sz w:val="20"/>
                <w:szCs w:val="20"/>
              </w:rPr>
              <w:t xml:space="preserve">Informações sobre a estrutura e as atividades do sistema de correição da unidade ou do órgão de vinculação da unidade, identificando, inclusive, a base normativa que rege a atividade no âmbito da unidade ou do órgão. </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3.5.</w:t>
            </w:r>
          </w:p>
        </w:tc>
        <w:tc>
          <w:tcPr>
            <w:tcW w:w="2987" w:type="pct"/>
          </w:tcPr>
          <w:p w:rsidR="00352923" w:rsidRPr="00825D74" w:rsidRDefault="00352923" w:rsidP="00C70A4F">
            <w:pPr>
              <w:spacing w:line="244" w:lineRule="auto"/>
              <w:jc w:val="both"/>
              <w:rPr>
                <w:sz w:val="20"/>
                <w:szCs w:val="20"/>
              </w:rPr>
            </w:pPr>
            <w:r w:rsidRPr="00825D74">
              <w:rPr>
                <w:sz w:val="20"/>
                <w:szCs w:val="20"/>
              </w:rPr>
              <w:t xml:space="preserve">Informações quanto ao cumprimento, pela instância de correição da unidade, das disposições dos </w:t>
            </w:r>
            <w:proofErr w:type="spellStart"/>
            <w:r w:rsidRPr="00825D74">
              <w:rPr>
                <w:sz w:val="20"/>
                <w:szCs w:val="20"/>
              </w:rPr>
              <w:t>arts</w:t>
            </w:r>
            <w:proofErr w:type="spellEnd"/>
            <w:r w:rsidRPr="00825D74">
              <w:rPr>
                <w:sz w:val="20"/>
                <w:szCs w:val="20"/>
              </w:rPr>
              <w:t xml:space="preserve">. 4º e 5º da Portaria nº 1.043, de 24 de julho de 2007, da Controladoria-Geral da União – CGU, no que tange aos fatos originados em unidade jurisdicionada cuja gestão esteja contemplada no relatório de gestão. </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439"/>
        </w:trPr>
        <w:tc>
          <w:tcPr>
            <w:tcW w:w="3298" w:type="pct"/>
            <w:gridSpan w:val="2"/>
            <w:shd w:val="clear" w:color="auto" w:fill="F2F2F2"/>
            <w:vAlign w:val="center"/>
          </w:tcPr>
          <w:p w:rsidR="00352923" w:rsidRPr="00825D74" w:rsidRDefault="00352923" w:rsidP="00C70A4F">
            <w:pPr>
              <w:spacing w:line="244" w:lineRule="auto"/>
              <w:rPr>
                <w:b/>
                <w:sz w:val="20"/>
                <w:szCs w:val="20"/>
              </w:rPr>
            </w:pPr>
            <w:r w:rsidRPr="00825D74">
              <w:rPr>
                <w:b/>
                <w:sz w:val="20"/>
                <w:szCs w:val="20"/>
              </w:rPr>
              <w:t>4.</w:t>
            </w:r>
            <w:r w:rsidRPr="00825D74">
              <w:rPr>
                <w:b/>
                <w:sz w:val="20"/>
                <w:szCs w:val="20"/>
              </w:rPr>
              <w:tab/>
              <w:t xml:space="preserve">PROGRAMAÇÃO E EXECUÇÃO DA DESPESA ORÇAMENTÁRIA E </w:t>
            </w:r>
            <w:proofErr w:type="gramStart"/>
            <w:r w:rsidRPr="00825D74">
              <w:rPr>
                <w:b/>
                <w:sz w:val="20"/>
                <w:szCs w:val="20"/>
              </w:rPr>
              <w:t>FINANCEIRA</w:t>
            </w:r>
            <w:proofErr w:type="gramEnd"/>
          </w:p>
        </w:tc>
        <w:tc>
          <w:tcPr>
            <w:tcW w:w="993" w:type="pct"/>
            <w:shd w:val="clear" w:color="auto" w:fill="F2F2F2"/>
          </w:tcPr>
          <w:p w:rsidR="00352923" w:rsidRPr="00825D74" w:rsidRDefault="00352923" w:rsidP="00C70A4F">
            <w:pPr>
              <w:spacing w:line="244" w:lineRule="auto"/>
              <w:rPr>
                <w:b/>
                <w:sz w:val="20"/>
                <w:szCs w:val="20"/>
              </w:rPr>
            </w:pPr>
          </w:p>
        </w:tc>
        <w:tc>
          <w:tcPr>
            <w:tcW w:w="709" w:type="pct"/>
            <w:shd w:val="clear" w:color="auto" w:fill="F2F2F2"/>
          </w:tcPr>
          <w:p w:rsidR="00352923" w:rsidRPr="00825D74" w:rsidRDefault="00352923" w:rsidP="00C70A4F">
            <w:pPr>
              <w:spacing w:line="244" w:lineRule="auto"/>
              <w:rPr>
                <w:b/>
                <w:sz w:val="20"/>
                <w:szCs w:val="20"/>
              </w:rPr>
            </w:pPr>
          </w:p>
        </w:tc>
      </w:tr>
      <w:tr w:rsidR="00352923" w:rsidRPr="00825D74" w:rsidTr="00352923">
        <w:trPr>
          <w:cantSplit/>
          <w:trHeight w:val="1401"/>
        </w:trPr>
        <w:tc>
          <w:tcPr>
            <w:tcW w:w="311" w:type="pct"/>
            <w:vAlign w:val="center"/>
          </w:tcPr>
          <w:p w:rsidR="00352923" w:rsidRPr="00825D74" w:rsidRDefault="00352923" w:rsidP="00C70A4F">
            <w:pPr>
              <w:spacing w:line="244" w:lineRule="auto"/>
              <w:rPr>
                <w:sz w:val="20"/>
                <w:szCs w:val="20"/>
              </w:rPr>
            </w:pPr>
            <w:r w:rsidRPr="00825D74">
              <w:rPr>
                <w:sz w:val="20"/>
                <w:szCs w:val="20"/>
              </w:rPr>
              <w:t>4.1.</w:t>
            </w:r>
          </w:p>
        </w:tc>
        <w:tc>
          <w:tcPr>
            <w:tcW w:w="2987" w:type="pct"/>
          </w:tcPr>
          <w:p w:rsidR="00352923" w:rsidRPr="00825D74" w:rsidRDefault="00352923" w:rsidP="00C70A4F">
            <w:pPr>
              <w:spacing w:line="244" w:lineRule="auto"/>
              <w:jc w:val="both"/>
              <w:rPr>
                <w:sz w:val="20"/>
                <w:szCs w:val="20"/>
              </w:rPr>
            </w:pPr>
            <w:r w:rsidRPr="00825D74">
              <w:rPr>
                <w:sz w:val="20"/>
                <w:szCs w:val="20"/>
              </w:rPr>
              <w:t xml:space="preserve"> Relação dos programas do Plano Plurianual vigente que estiveram integral ou parcialmente na responsabilidade da unidade jurisdicionada ou de unidade consolidada no relatório de gestão, especificando:</w:t>
            </w:r>
          </w:p>
          <w:p w:rsidR="00352923" w:rsidRPr="00825D74" w:rsidRDefault="00352923" w:rsidP="00C70A4F">
            <w:pPr>
              <w:spacing w:line="244" w:lineRule="auto"/>
              <w:jc w:val="both"/>
              <w:rPr>
                <w:sz w:val="20"/>
                <w:szCs w:val="20"/>
              </w:rPr>
            </w:pPr>
            <w:r w:rsidRPr="00825D74">
              <w:rPr>
                <w:sz w:val="20"/>
                <w:szCs w:val="20"/>
              </w:rPr>
              <w:t>a) Identificação do programa;</w:t>
            </w:r>
          </w:p>
          <w:p w:rsidR="00352923" w:rsidRPr="00825D74" w:rsidRDefault="00352923" w:rsidP="00C70A4F">
            <w:pPr>
              <w:spacing w:line="244" w:lineRule="auto"/>
              <w:jc w:val="both"/>
              <w:rPr>
                <w:sz w:val="20"/>
                <w:szCs w:val="20"/>
              </w:rPr>
            </w:pPr>
            <w:r w:rsidRPr="00825D74">
              <w:rPr>
                <w:sz w:val="20"/>
                <w:szCs w:val="20"/>
              </w:rPr>
              <w:t>b) Informações sobre a programação e a execução orçamentária e financeira relativa ao programa;</w:t>
            </w:r>
          </w:p>
          <w:p w:rsidR="00352923" w:rsidRPr="00825D74" w:rsidRDefault="00352923" w:rsidP="00C70A4F">
            <w:pPr>
              <w:spacing w:line="244" w:lineRule="auto"/>
              <w:jc w:val="both"/>
              <w:rPr>
                <w:sz w:val="20"/>
                <w:szCs w:val="20"/>
              </w:rPr>
            </w:pPr>
            <w:r w:rsidRPr="00825D74">
              <w:rPr>
                <w:sz w:val="20"/>
                <w:szCs w:val="20"/>
              </w:rPr>
              <w:t>c) Avaliação dos resultados dos indicadores associados ao programa;</w:t>
            </w:r>
          </w:p>
          <w:p w:rsidR="00352923" w:rsidRPr="00825D74" w:rsidRDefault="00352923" w:rsidP="00C70A4F">
            <w:pPr>
              <w:spacing w:line="244" w:lineRule="auto"/>
              <w:jc w:val="both"/>
              <w:rPr>
                <w:sz w:val="20"/>
                <w:szCs w:val="20"/>
              </w:rPr>
            </w:pPr>
            <w:r w:rsidRPr="00825D74">
              <w:rPr>
                <w:sz w:val="20"/>
                <w:szCs w:val="20"/>
              </w:rPr>
              <w:t>d) Reflexos de contingenciamentos sobre os resultados dos programas;</w:t>
            </w:r>
          </w:p>
          <w:p w:rsidR="00352923" w:rsidRPr="00825D74" w:rsidRDefault="00352923" w:rsidP="00C70A4F">
            <w:pPr>
              <w:spacing w:line="244" w:lineRule="auto"/>
              <w:jc w:val="both"/>
              <w:rPr>
                <w:sz w:val="20"/>
                <w:szCs w:val="20"/>
              </w:rPr>
            </w:pPr>
            <w:r w:rsidRPr="00825D74">
              <w:rPr>
                <w:sz w:val="20"/>
                <w:szCs w:val="20"/>
              </w:rPr>
              <w:t>e) Reflexos dos restos a pagar na execução dos programas.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1168"/>
        </w:trPr>
        <w:tc>
          <w:tcPr>
            <w:tcW w:w="311" w:type="pct"/>
            <w:vAlign w:val="center"/>
          </w:tcPr>
          <w:p w:rsidR="00352923" w:rsidRPr="00825D74" w:rsidRDefault="00352923" w:rsidP="00C70A4F">
            <w:pPr>
              <w:spacing w:line="244" w:lineRule="auto"/>
              <w:rPr>
                <w:sz w:val="20"/>
                <w:szCs w:val="20"/>
              </w:rPr>
            </w:pPr>
            <w:r w:rsidRPr="00825D74">
              <w:rPr>
                <w:sz w:val="20"/>
                <w:szCs w:val="20"/>
              </w:rPr>
              <w:t>4.2.</w:t>
            </w:r>
          </w:p>
        </w:tc>
        <w:tc>
          <w:tcPr>
            <w:tcW w:w="2987" w:type="pct"/>
          </w:tcPr>
          <w:p w:rsidR="00352923" w:rsidRPr="00825D74" w:rsidRDefault="00352923" w:rsidP="00C70A4F">
            <w:pPr>
              <w:spacing w:line="244" w:lineRule="auto"/>
              <w:jc w:val="both"/>
              <w:rPr>
                <w:sz w:val="20"/>
                <w:szCs w:val="20"/>
              </w:rPr>
            </w:pPr>
            <w:r w:rsidRPr="00825D74">
              <w:rPr>
                <w:sz w:val="20"/>
                <w:szCs w:val="20"/>
              </w:rPr>
              <w:t>Relação das Ações da Lei Orçamentária Anual do exercício que estiveram integral ou parcialmente na responsabilidade da unidade jurisdicionada ou de unidade consolidada no relatório de gestão, especificando:</w:t>
            </w:r>
          </w:p>
          <w:p w:rsidR="00352923" w:rsidRPr="00825D74" w:rsidRDefault="00352923" w:rsidP="00C70A4F">
            <w:pPr>
              <w:spacing w:line="244" w:lineRule="auto"/>
              <w:jc w:val="both"/>
              <w:rPr>
                <w:sz w:val="20"/>
                <w:szCs w:val="20"/>
              </w:rPr>
            </w:pPr>
            <w:r w:rsidRPr="00825D74">
              <w:rPr>
                <w:sz w:val="20"/>
                <w:szCs w:val="20"/>
              </w:rPr>
              <w:t xml:space="preserve">a) Função, </w:t>
            </w:r>
            <w:proofErr w:type="spellStart"/>
            <w:r w:rsidRPr="00825D74">
              <w:rPr>
                <w:sz w:val="20"/>
                <w:szCs w:val="20"/>
              </w:rPr>
              <w:t>subfunção</w:t>
            </w:r>
            <w:proofErr w:type="spellEnd"/>
            <w:r w:rsidRPr="00825D74">
              <w:rPr>
                <w:sz w:val="20"/>
                <w:szCs w:val="20"/>
              </w:rPr>
              <w:t xml:space="preserve"> e programa de vinculação da ação;</w:t>
            </w:r>
          </w:p>
          <w:p w:rsidR="00352923" w:rsidRPr="00825D74" w:rsidRDefault="00352923" w:rsidP="00C70A4F">
            <w:pPr>
              <w:spacing w:line="244" w:lineRule="auto"/>
              <w:jc w:val="both"/>
              <w:rPr>
                <w:sz w:val="20"/>
                <w:szCs w:val="20"/>
              </w:rPr>
            </w:pPr>
            <w:r w:rsidRPr="00825D74">
              <w:rPr>
                <w:sz w:val="20"/>
                <w:szCs w:val="20"/>
              </w:rPr>
              <w:t>b) Metas e desempenhos físicos e financeiros;</w:t>
            </w:r>
          </w:p>
          <w:p w:rsidR="00352923" w:rsidRPr="00825D74" w:rsidRDefault="00352923" w:rsidP="00C70A4F">
            <w:pPr>
              <w:spacing w:line="244" w:lineRule="auto"/>
              <w:jc w:val="both"/>
              <w:rPr>
                <w:sz w:val="20"/>
                <w:szCs w:val="20"/>
              </w:rPr>
            </w:pPr>
            <w:r w:rsidRPr="00825D74">
              <w:rPr>
                <w:sz w:val="20"/>
                <w:szCs w:val="20"/>
              </w:rPr>
              <w:t>c) Reflexos de contingenciamentos sobre os resultados das ações;</w:t>
            </w:r>
          </w:p>
          <w:p w:rsidR="00352923" w:rsidRPr="00825D74" w:rsidRDefault="00352923" w:rsidP="00C70A4F">
            <w:pPr>
              <w:spacing w:line="244" w:lineRule="auto"/>
              <w:jc w:val="both"/>
              <w:rPr>
                <w:sz w:val="20"/>
                <w:szCs w:val="20"/>
              </w:rPr>
            </w:pPr>
            <w:r w:rsidRPr="00825D74">
              <w:rPr>
                <w:sz w:val="20"/>
                <w:szCs w:val="20"/>
              </w:rPr>
              <w:t>d) Reflexos dos restos a pagar na execução das ações.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1168"/>
        </w:trPr>
        <w:tc>
          <w:tcPr>
            <w:tcW w:w="311" w:type="pct"/>
            <w:vAlign w:val="center"/>
          </w:tcPr>
          <w:p w:rsidR="00352923" w:rsidRPr="00825D74" w:rsidRDefault="00352923" w:rsidP="00C70A4F">
            <w:pPr>
              <w:spacing w:line="244" w:lineRule="auto"/>
              <w:rPr>
                <w:sz w:val="20"/>
                <w:szCs w:val="20"/>
              </w:rPr>
            </w:pPr>
            <w:r w:rsidRPr="00825D74">
              <w:rPr>
                <w:sz w:val="20"/>
                <w:szCs w:val="20"/>
              </w:rPr>
              <w:t>4.3.</w:t>
            </w:r>
          </w:p>
        </w:tc>
        <w:tc>
          <w:tcPr>
            <w:tcW w:w="2987" w:type="pct"/>
          </w:tcPr>
          <w:p w:rsidR="00352923" w:rsidRPr="00825D74" w:rsidRDefault="00352923" w:rsidP="00C70A4F">
            <w:pPr>
              <w:spacing w:line="244" w:lineRule="auto"/>
              <w:jc w:val="both"/>
              <w:rPr>
                <w:sz w:val="20"/>
                <w:szCs w:val="20"/>
              </w:rPr>
            </w:pPr>
            <w:r w:rsidRPr="00825D74">
              <w:rPr>
                <w:sz w:val="20"/>
                <w:szCs w:val="20"/>
              </w:rPr>
              <w:t>Demonstração e análise do desempenho da unidade na execução orçamentária e financeira, contemplando, no mínimo:</w:t>
            </w:r>
          </w:p>
          <w:p w:rsidR="00352923" w:rsidRPr="00825D74" w:rsidRDefault="00352923" w:rsidP="00C70A4F">
            <w:pPr>
              <w:spacing w:line="244" w:lineRule="auto"/>
              <w:jc w:val="both"/>
              <w:rPr>
                <w:sz w:val="20"/>
                <w:szCs w:val="20"/>
              </w:rPr>
            </w:pPr>
            <w:r w:rsidRPr="00825D74">
              <w:rPr>
                <w:sz w:val="20"/>
                <w:szCs w:val="20"/>
              </w:rPr>
              <w:t>a) Identificação das unidades orçamentárias (UO) consideradas no relatório de gestão;</w:t>
            </w:r>
          </w:p>
          <w:p w:rsidR="00352923" w:rsidRPr="00825D74" w:rsidRDefault="00352923" w:rsidP="00C70A4F">
            <w:pPr>
              <w:spacing w:line="244" w:lineRule="auto"/>
              <w:jc w:val="both"/>
              <w:rPr>
                <w:sz w:val="20"/>
                <w:szCs w:val="20"/>
              </w:rPr>
            </w:pPr>
            <w:r w:rsidRPr="00825D74">
              <w:rPr>
                <w:sz w:val="20"/>
                <w:szCs w:val="20"/>
              </w:rPr>
              <w:t>b) Programação orçamentária das despesas correntes, de capital e da reserva de contingência;</w:t>
            </w:r>
          </w:p>
          <w:p w:rsidR="00352923" w:rsidRPr="00825D74" w:rsidRDefault="00352923" w:rsidP="00C70A4F">
            <w:pPr>
              <w:spacing w:line="244" w:lineRule="auto"/>
              <w:jc w:val="both"/>
              <w:rPr>
                <w:sz w:val="20"/>
                <w:szCs w:val="20"/>
              </w:rPr>
            </w:pPr>
            <w:r w:rsidRPr="00825D74">
              <w:rPr>
                <w:sz w:val="20"/>
                <w:szCs w:val="20"/>
              </w:rPr>
              <w:t>c) Demonstração dos limites impostos por cronograma de desembolso definido pelos órgãos competentes, explicitando o impacto das limitações na execução das ações de responsabilidade da unidade jurisdicionada.</w:t>
            </w:r>
          </w:p>
          <w:p w:rsidR="00352923" w:rsidRPr="00825D74" w:rsidRDefault="00352923" w:rsidP="00C70A4F">
            <w:pPr>
              <w:spacing w:line="244" w:lineRule="auto"/>
              <w:jc w:val="both"/>
              <w:rPr>
                <w:sz w:val="20"/>
                <w:szCs w:val="20"/>
              </w:rPr>
            </w:pPr>
            <w:r w:rsidRPr="00825D74">
              <w:rPr>
                <w:sz w:val="20"/>
                <w:szCs w:val="20"/>
              </w:rPr>
              <w:t>d) Movimentação de créditos interna e externa;</w:t>
            </w:r>
          </w:p>
          <w:p w:rsidR="00352923" w:rsidRPr="00825D74" w:rsidRDefault="00352923" w:rsidP="00C70A4F">
            <w:pPr>
              <w:spacing w:line="244" w:lineRule="auto"/>
              <w:jc w:val="both"/>
              <w:rPr>
                <w:sz w:val="20"/>
                <w:szCs w:val="20"/>
              </w:rPr>
            </w:pPr>
            <w:r w:rsidRPr="00825D74">
              <w:rPr>
                <w:sz w:val="20"/>
                <w:szCs w:val="20"/>
              </w:rPr>
              <w:t>e) Execução das despesas por modalidade de licitação e por elementos de despesa;</w:t>
            </w:r>
          </w:p>
          <w:p w:rsidR="00352923" w:rsidRPr="00825D74" w:rsidRDefault="00352923" w:rsidP="00C70A4F">
            <w:pPr>
              <w:spacing w:line="244" w:lineRule="auto"/>
              <w:jc w:val="both"/>
              <w:rPr>
                <w:sz w:val="20"/>
                <w:szCs w:val="20"/>
              </w:rPr>
            </w:pPr>
            <w:r w:rsidRPr="00825D74">
              <w:rPr>
                <w:sz w:val="20"/>
                <w:szCs w:val="20"/>
              </w:rPr>
              <w:t>f) Demonstração e análise de indicadores institucionais para medir o desempenho orçamentário e financeiro, caso tenham sido instituídos pela unidade.</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391"/>
        </w:trPr>
        <w:tc>
          <w:tcPr>
            <w:tcW w:w="3298" w:type="pct"/>
            <w:gridSpan w:val="2"/>
            <w:shd w:val="clear" w:color="auto" w:fill="F2F2F2"/>
            <w:vAlign w:val="center"/>
          </w:tcPr>
          <w:p w:rsidR="00352923" w:rsidRPr="00825D74" w:rsidRDefault="00352923" w:rsidP="00C70A4F">
            <w:pPr>
              <w:spacing w:line="244" w:lineRule="auto"/>
              <w:rPr>
                <w:b/>
                <w:sz w:val="20"/>
                <w:szCs w:val="20"/>
              </w:rPr>
            </w:pPr>
            <w:r w:rsidRPr="00825D74">
              <w:rPr>
                <w:b/>
                <w:sz w:val="20"/>
                <w:szCs w:val="20"/>
              </w:rPr>
              <w:t>5.</w:t>
            </w:r>
            <w:r w:rsidRPr="00825D74">
              <w:rPr>
                <w:b/>
                <w:sz w:val="20"/>
                <w:szCs w:val="20"/>
              </w:rPr>
              <w:tab/>
              <w:t xml:space="preserve">TÓPICOS ESPECIAIS DA EXECUÇÃO ORÇAMENTÁRIA E </w:t>
            </w:r>
            <w:proofErr w:type="gramStart"/>
            <w:r w:rsidRPr="00825D74">
              <w:rPr>
                <w:b/>
                <w:sz w:val="20"/>
                <w:szCs w:val="20"/>
              </w:rPr>
              <w:t>FINANCEIRA</w:t>
            </w:r>
            <w:proofErr w:type="gramEnd"/>
          </w:p>
        </w:tc>
        <w:tc>
          <w:tcPr>
            <w:tcW w:w="993" w:type="pct"/>
            <w:shd w:val="clear" w:color="auto" w:fill="F2F2F2"/>
          </w:tcPr>
          <w:p w:rsidR="00352923" w:rsidRPr="00825D74" w:rsidRDefault="00352923" w:rsidP="00C70A4F">
            <w:pPr>
              <w:spacing w:line="244" w:lineRule="auto"/>
              <w:rPr>
                <w:b/>
                <w:sz w:val="20"/>
                <w:szCs w:val="20"/>
              </w:rPr>
            </w:pPr>
          </w:p>
        </w:tc>
        <w:tc>
          <w:tcPr>
            <w:tcW w:w="709" w:type="pct"/>
            <w:shd w:val="clear" w:color="auto" w:fill="F2F2F2"/>
          </w:tcPr>
          <w:p w:rsidR="00352923" w:rsidRPr="00825D74" w:rsidRDefault="00352923" w:rsidP="00C70A4F">
            <w:pPr>
              <w:spacing w:line="244" w:lineRule="auto"/>
              <w:rPr>
                <w:b/>
                <w:sz w:val="20"/>
                <w:szCs w:val="20"/>
              </w:rPr>
            </w:pPr>
          </w:p>
        </w:tc>
      </w:tr>
      <w:tr w:rsidR="00352923" w:rsidRPr="00825D74" w:rsidTr="00352923">
        <w:trPr>
          <w:cantSplit/>
          <w:trHeight w:hRule="exact" w:val="351"/>
        </w:trPr>
        <w:tc>
          <w:tcPr>
            <w:tcW w:w="311" w:type="pct"/>
            <w:vAlign w:val="center"/>
          </w:tcPr>
          <w:p w:rsidR="00352923" w:rsidRPr="00825D74" w:rsidRDefault="00352923" w:rsidP="00C70A4F">
            <w:pPr>
              <w:spacing w:line="244" w:lineRule="auto"/>
              <w:rPr>
                <w:sz w:val="20"/>
                <w:szCs w:val="20"/>
              </w:rPr>
            </w:pPr>
            <w:r w:rsidRPr="00825D74">
              <w:rPr>
                <w:sz w:val="20"/>
                <w:szCs w:val="20"/>
              </w:rPr>
              <w:t>5.1.</w:t>
            </w:r>
            <w:r w:rsidRPr="00825D74">
              <w:rPr>
                <w:sz w:val="20"/>
                <w:szCs w:val="20"/>
              </w:rPr>
              <w:tab/>
            </w:r>
          </w:p>
        </w:tc>
        <w:tc>
          <w:tcPr>
            <w:tcW w:w="2987" w:type="pct"/>
            <w:vAlign w:val="center"/>
          </w:tcPr>
          <w:p w:rsidR="00352923" w:rsidRPr="00825D74" w:rsidRDefault="00352923" w:rsidP="00C70A4F">
            <w:pPr>
              <w:spacing w:line="244" w:lineRule="auto"/>
              <w:jc w:val="both"/>
              <w:rPr>
                <w:sz w:val="20"/>
                <w:szCs w:val="20"/>
              </w:rPr>
            </w:pPr>
            <w:r w:rsidRPr="00825D74">
              <w:rPr>
                <w:sz w:val="20"/>
                <w:szCs w:val="20"/>
              </w:rPr>
              <w:t>Informações sobre o reconhecimento de passivos por insuficiência de créditos ou recursos.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Height w:val="323"/>
        </w:trPr>
        <w:tc>
          <w:tcPr>
            <w:tcW w:w="311" w:type="pct"/>
            <w:vAlign w:val="center"/>
          </w:tcPr>
          <w:p w:rsidR="00352923" w:rsidRPr="00825D74" w:rsidRDefault="00352923" w:rsidP="00C70A4F">
            <w:pPr>
              <w:spacing w:line="244" w:lineRule="auto"/>
              <w:rPr>
                <w:sz w:val="20"/>
                <w:szCs w:val="20"/>
              </w:rPr>
            </w:pPr>
            <w:r w:rsidRPr="00825D74">
              <w:rPr>
                <w:sz w:val="20"/>
                <w:szCs w:val="20"/>
              </w:rPr>
              <w:t>5.2.</w:t>
            </w:r>
          </w:p>
        </w:tc>
        <w:tc>
          <w:tcPr>
            <w:tcW w:w="2987" w:type="pct"/>
          </w:tcPr>
          <w:p w:rsidR="00352923" w:rsidRPr="00825D74" w:rsidRDefault="00352923" w:rsidP="00C70A4F">
            <w:pPr>
              <w:spacing w:line="244" w:lineRule="auto"/>
              <w:jc w:val="both"/>
              <w:rPr>
                <w:sz w:val="20"/>
                <w:szCs w:val="20"/>
              </w:rPr>
            </w:pPr>
            <w:r w:rsidRPr="00825D74">
              <w:rPr>
                <w:sz w:val="20"/>
                <w:szCs w:val="20"/>
              </w:rPr>
              <w:t>Informações sobre a movimentação e os saldos de Restos a Pagar de Exercícios Anteriores.</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lastRenderedPageBreak/>
              <w:t>5.3.</w:t>
            </w:r>
          </w:p>
        </w:tc>
        <w:tc>
          <w:tcPr>
            <w:tcW w:w="2987" w:type="pct"/>
          </w:tcPr>
          <w:p w:rsidR="00352923" w:rsidRPr="00825D74" w:rsidRDefault="00352923" w:rsidP="00C70A4F">
            <w:pPr>
              <w:spacing w:line="244" w:lineRule="auto"/>
              <w:jc w:val="both"/>
              <w:rPr>
                <w:sz w:val="20"/>
                <w:szCs w:val="20"/>
              </w:rPr>
            </w:pPr>
            <w:r w:rsidRPr="00825D74">
              <w:rPr>
                <w:sz w:val="20"/>
                <w:szCs w:val="20"/>
              </w:rPr>
              <w:t>Informação sobre as transferências mediante convênio, contrato de repasse, termo de parceria, termo de cooperação, termo de compromisso ou outros acordos, ajustes ou instrumentos congêneres, vigentes no exercício de referência.</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5.4.</w:t>
            </w:r>
          </w:p>
        </w:tc>
        <w:tc>
          <w:tcPr>
            <w:tcW w:w="2987" w:type="pct"/>
          </w:tcPr>
          <w:p w:rsidR="00352923" w:rsidRPr="00825D74" w:rsidRDefault="00352923" w:rsidP="00C70A4F">
            <w:pPr>
              <w:spacing w:line="244" w:lineRule="auto"/>
              <w:jc w:val="both"/>
              <w:rPr>
                <w:b/>
                <w:bCs/>
                <w:sz w:val="20"/>
                <w:szCs w:val="20"/>
              </w:rPr>
            </w:pPr>
            <w:r w:rsidRPr="00825D74">
              <w:rPr>
                <w:sz w:val="20"/>
                <w:szCs w:val="20"/>
              </w:rPr>
              <w:t xml:space="preserve">Informações sobre a utilização de suprimento de fundos, contas bancárias tipo </w:t>
            </w:r>
            <w:proofErr w:type="spellStart"/>
            <w:r w:rsidRPr="00825D74">
              <w:rPr>
                <w:b/>
                <w:sz w:val="20"/>
                <w:szCs w:val="20"/>
              </w:rPr>
              <w:t>b</w:t>
            </w:r>
            <w:r w:rsidRPr="00825D74">
              <w:rPr>
                <w:sz w:val="20"/>
                <w:szCs w:val="20"/>
              </w:rPr>
              <w:t>e</w:t>
            </w:r>
            <w:proofErr w:type="spellEnd"/>
            <w:r w:rsidRPr="00825D74">
              <w:rPr>
                <w:sz w:val="20"/>
                <w:szCs w:val="20"/>
              </w:rPr>
              <w:t xml:space="preserve"> cartões de pagamento do governo federal.</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11" w:type="pct"/>
            <w:vAlign w:val="center"/>
          </w:tcPr>
          <w:p w:rsidR="00352923" w:rsidRPr="00825D74" w:rsidRDefault="00352923" w:rsidP="00C70A4F">
            <w:pPr>
              <w:spacing w:line="244" w:lineRule="auto"/>
              <w:rPr>
                <w:sz w:val="20"/>
                <w:szCs w:val="20"/>
              </w:rPr>
            </w:pPr>
            <w:r w:rsidRPr="00825D74">
              <w:rPr>
                <w:sz w:val="20"/>
                <w:szCs w:val="20"/>
              </w:rPr>
              <w:t>5.5.</w:t>
            </w:r>
          </w:p>
        </w:tc>
        <w:tc>
          <w:tcPr>
            <w:tcW w:w="2987" w:type="pct"/>
          </w:tcPr>
          <w:p w:rsidR="00352923" w:rsidRPr="00825D74" w:rsidRDefault="00352923" w:rsidP="00C70A4F">
            <w:pPr>
              <w:spacing w:line="244" w:lineRule="auto"/>
              <w:jc w:val="both"/>
              <w:rPr>
                <w:sz w:val="20"/>
                <w:szCs w:val="20"/>
              </w:rPr>
            </w:pPr>
            <w:r w:rsidRPr="00825D74">
              <w:rPr>
                <w:sz w:val="20"/>
                <w:szCs w:val="20"/>
              </w:rPr>
              <w:t>Informações sobre Renúncia Tributária, contendo declaração do gestor de que os beneficiários diretos da renúncia, bem como da contrapartida, comprovaram, no exercício, que estavam em situação regular em relação aos pagamentos dos tributos juntos à Secretaria da Receita Federal do Brasil – SRFB, ao Fundo de Garantia do Tempo de Serviço – FGTS e à Seguridade Social.</w:t>
            </w:r>
          </w:p>
        </w:tc>
        <w:tc>
          <w:tcPr>
            <w:tcW w:w="993" w:type="pct"/>
          </w:tcPr>
          <w:p w:rsidR="00352923" w:rsidRPr="00825D74" w:rsidRDefault="00352923" w:rsidP="00C70A4F">
            <w:pPr>
              <w:spacing w:line="244" w:lineRule="auto"/>
              <w:jc w:val="both"/>
              <w:rPr>
                <w:sz w:val="20"/>
                <w:szCs w:val="20"/>
              </w:rPr>
            </w:pPr>
          </w:p>
        </w:tc>
        <w:tc>
          <w:tcPr>
            <w:tcW w:w="709" w:type="pct"/>
          </w:tcPr>
          <w:p w:rsidR="00352923" w:rsidRPr="00825D74" w:rsidRDefault="00352923" w:rsidP="00C70A4F">
            <w:pPr>
              <w:spacing w:line="244" w:lineRule="auto"/>
              <w:jc w:val="both"/>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t>6.</w:t>
            </w:r>
            <w:r w:rsidRPr="00825D74">
              <w:rPr>
                <w:b/>
                <w:sz w:val="20"/>
                <w:szCs w:val="20"/>
              </w:rPr>
              <w:tab/>
              <w:t xml:space="preserve">GESTÃO DE PESSOAS, TERCEIRIZAÇÃO DE MÃO DE OBRA E CUSTOS </w:t>
            </w:r>
            <w:proofErr w:type="gramStart"/>
            <w:r w:rsidRPr="00825D74">
              <w:rPr>
                <w:b/>
                <w:sz w:val="20"/>
                <w:szCs w:val="20"/>
              </w:rPr>
              <w:t>RELACIONADOS</w:t>
            </w:r>
            <w:proofErr w:type="gramEnd"/>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6.1.</w:t>
            </w:r>
          </w:p>
        </w:tc>
        <w:tc>
          <w:tcPr>
            <w:tcW w:w="2987" w:type="pct"/>
          </w:tcPr>
          <w:p w:rsidR="00352923" w:rsidRPr="00825D74" w:rsidRDefault="00352923" w:rsidP="009E5354">
            <w:pPr>
              <w:spacing w:before="20" w:after="20"/>
              <w:ind w:left="29"/>
              <w:rPr>
                <w:sz w:val="20"/>
                <w:szCs w:val="20"/>
              </w:rPr>
            </w:pPr>
            <w:r w:rsidRPr="00825D74">
              <w:rPr>
                <w:sz w:val="20"/>
                <w:szCs w:val="20"/>
              </w:rPr>
              <w:t xml:space="preserve">Informações sobre a estrutura de pessoal da unidade, contemplando as seguintes perspectivas: </w:t>
            </w:r>
          </w:p>
          <w:p w:rsidR="00352923" w:rsidRPr="00825D74" w:rsidRDefault="00352923" w:rsidP="009E5354">
            <w:pPr>
              <w:spacing w:before="20" w:after="20"/>
              <w:ind w:left="247"/>
              <w:rPr>
                <w:sz w:val="20"/>
                <w:szCs w:val="20"/>
              </w:rPr>
            </w:pPr>
            <w:r w:rsidRPr="00825D74">
              <w:rPr>
                <w:sz w:val="20"/>
                <w:szCs w:val="20"/>
              </w:rPr>
              <w:t xml:space="preserve">a) Demonstração da força de trabalho e dos afastamentos que refletem sobre ela; </w:t>
            </w:r>
          </w:p>
          <w:p w:rsidR="00352923" w:rsidRPr="00825D74" w:rsidRDefault="00352923" w:rsidP="009E5354">
            <w:pPr>
              <w:spacing w:before="20" w:after="20"/>
              <w:ind w:left="247"/>
              <w:rPr>
                <w:sz w:val="20"/>
                <w:szCs w:val="20"/>
              </w:rPr>
            </w:pPr>
            <w:r w:rsidRPr="00825D74">
              <w:rPr>
                <w:sz w:val="20"/>
                <w:szCs w:val="20"/>
              </w:rPr>
              <w:t xml:space="preserve">b) Qualificação da força de trabalho de acordo com a estrutura de cargos, idade e nível de escolaridade; </w:t>
            </w:r>
          </w:p>
          <w:p w:rsidR="00352923" w:rsidRPr="00825D74" w:rsidRDefault="00352923" w:rsidP="009E5354">
            <w:pPr>
              <w:spacing w:before="20" w:after="20"/>
              <w:ind w:left="247"/>
              <w:rPr>
                <w:sz w:val="20"/>
                <w:szCs w:val="20"/>
              </w:rPr>
            </w:pPr>
            <w:r w:rsidRPr="00825D74">
              <w:rPr>
                <w:sz w:val="20"/>
                <w:szCs w:val="20"/>
              </w:rPr>
              <w:t xml:space="preserve">c) Custos associados à manutenção dos recursos humanos; </w:t>
            </w:r>
          </w:p>
          <w:p w:rsidR="00352923" w:rsidRPr="00825D74" w:rsidRDefault="00352923" w:rsidP="009E5354">
            <w:pPr>
              <w:spacing w:before="20" w:after="20"/>
              <w:ind w:left="247"/>
              <w:rPr>
                <w:sz w:val="20"/>
                <w:szCs w:val="20"/>
              </w:rPr>
            </w:pPr>
            <w:r w:rsidRPr="00825D74">
              <w:rPr>
                <w:sz w:val="20"/>
                <w:szCs w:val="20"/>
              </w:rPr>
              <w:t>d) Composição do quadro de servidores inativos e pensionistas;</w:t>
            </w:r>
          </w:p>
          <w:p w:rsidR="00352923" w:rsidRPr="00825D74" w:rsidRDefault="00352923" w:rsidP="009E5354">
            <w:pPr>
              <w:spacing w:before="20" w:after="20"/>
              <w:ind w:left="247"/>
              <w:rPr>
                <w:sz w:val="20"/>
                <w:szCs w:val="20"/>
              </w:rPr>
            </w:pPr>
            <w:r w:rsidRPr="00825D74">
              <w:rPr>
                <w:sz w:val="20"/>
                <w:szCs w:val="20"/>
              </w:rPr>
              <w:t>e) Demonstração do cadastramento, no Sistema de Apreciação e Registro dos Atos de Admissão e Concessões (</w:t>
            </w:r>
            <w:proofErr w:type="spellStart"/>
            <w:r w:rsidRPr="00825D74">
              <w:rPr>
                <w:sz w:val="20"/>
                <w:szCs w:val="20"/>
              </w:rPr>
              <w:t>Sisac</w:t>
            </w:r>
            <w:proofErr w:type="spellEnd"/>
            <w:r w:rsidRPr="00825D74">
              <w:rPr>
                <w:sz w:val="20"/>
                <w:szCs w:val="20"/>
              </w:rPr>
              <w:t xml:space="preserve">), das informações pertinentes aos atos de admissão e concessão de aposentadoria, reforma e pensão ocorridos no exercício, bem como da disponibilização das informações para o respectivo órgão de controle interno, nos termos da Instrução Normativa TCU nº 55/2007; </w:t>
            </w:r>
          </w:p>
          <w:p w:rsidR="00352923" w:rsidRPr="00825D74" w:rsidRDefault="00352923" w:rsidP="009E5354">
            <w:pPr>
              <w:spacing w:before="20" w:after="20"/>
              <w:ind w:left="247"/>
              <w:rPr>
                <w:sz w:val="20"/>
                <w:szCs w:val="20"/>
              </w:rPr>
            </w:pPr>
            <w:r w:rsidRPr="00825D74">
              <w:rPr>
                <w:sz w:val="20"/>
                <w:szCs w:val="20"/>
              </w:rPr>
              <w:t xml:space="preserve">f) Providências adotadas para identificar eventual acumulação remunerada de cargos, funções e empregos </w:t>
            </w:r>
            <w:proofErr w:type="gramStart"/>
            <w:r w:rsidRPr="00825D74">
              <w:rPr>
                <w:sz w:val="20"/>
                <w:szCs w:val="20"/>
              </w:rPr>
              <w:t>públicos vedada pelo art. 37, incisos XVI e XVII, da Constituição Federal</w:t>
            </w:r>
            <w:proofErr w:type="gramEnd"/>
            <w:r w:rsidRPr="00825D74">
              <w:rPr>
                <w:sz w:val="20"/>
                <w:szCs w:val="20"/>
              </w:rPr>
              <w:t xml:space="preserve"> (nas redações dadas pelas Emendas Constitucionais nos 19/98 e 34/2001); </w:t>
            </w:r>
          </w:p>
          <w:p w:rsidR="00352923" w:rsidRPr="00825D74" w:rsidRDefault="00352923" w:rsidP="009E5354">
            <w:pPr>
              <w:spacing w:before="20" w:after="20"/>
              <w:ind w:left="247"/>
              <w:rPr>
                <w:sz w:val="20"/>
                <w:szCs w:val="20"/>
              </w:rPr>
            </w:pPr>
            <w:r w:rsidRPr="00825D74">
              <w:rPr>
                <w:sz w:val="20"/>
                <w:szCs w:val="20"/>
              </w:rPr>
              <w:t xml:space="preserve">g) Providências adotadas nos casos identificados de acumulação remunerada de cargos, funções e empregos públicos, nos termos do art. 133 da Lei nº 8.112/93; </w:t>
            </w:r>
          </w:p>
          <w:p w:rsidR="00352923" w:rsidRPr="00825D74" w:rsidRDefault="00352923" w:rsidP="009E5354">
            <w:pPr>
              <w:ind w:left="165"/>
              <w:rPr>
                <w:sz w:val="20"/>
                <w:szCs w:val="20"/>
              </w:rPr>
            </w:pPr>
            <w:r w:rsidRPr="00825D74">
              <w:rPr>
                <w:sz w:val="20"/>
                <w:szCs w:val="20"/>
              </w:rPr>
              <w:t>h) Indicadores gerenciais sobre recursos humanos.</w:t>
            </w:r>
          </w:p>
        </w:tc>
        <w:tc>
          <w:tcPr>
            <w:tcW w:w="993" w:type="pct"/>
          </w:tcPr>
          <w:p w:rsidR="00352923" w:rsidRPr="00825D74" w:rsidRDefault="00352923" w:rsidP="009E5354">
            <w:pPr>
              <w:spacing w:before="20" w:after="20"/>
              <w:ind w:left="29"/>
              <w:rPr>
                <w:sz w:val="20"/>
                <w:szCs w:val="20"/>
              </w:rPr>
            </w:pPr>
          </w:p>
        </w:tc>
        <w:tc>
          <w:tcPr>
            <w:tcW w:w="709" w:type="pct"/>
          </w:tcPr>
          <w:p w:rsidR="00352923" w:rsidRPr="00825D74" w:rsidRDefault="00352923" w:rsidP="009E5354">
            <w:pPr>
              <w:spacing w:before="20" w:after="20"/>
              <w:ind w:left="29"/>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6.2.</w:t>
            </w:r>
          </w:p>
        </w:tc>
        <w:tc>
          <w:tcPr>
            <w:tcW w:w="2987" w:type="pct"/>
          </w:tcPr>
          <w:p w:rsidR="00352923" w:rsidRPr="00825D74" w:rsidRDefault="00352923" w:rsidP="00C70A4F">
            <w:pPr>
              <w:rPr>
                <w:sz w:val="20"/>
                <w:szCs w:val="20"/>
              </w:rPr>
            </w:pPr>
            <w:r w:rsidRPr="00825D74">
              <w:rPr>
                <w:sz w:val="20"/>
                <w:szCs w:val="20"/>
              </w:rPr>
              <w:t>Informações sobre a terceirização de mão de obra e sobre o quadro de estagiários.</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t>7.</w:t>
            </w:r>
            <w:r w:rsidRPr="00825D74">
              <w:rPr>
                <w:b/>
                <w:sz w:val="20"/>
                <w:szCs w:val="20"/>
              </w:rPr>
              <w:tab/>
              <w:t xml:space="preserve">GESTÃO DO PATRIMÔNIO MOBILIÁRIO E </w:t>
            </w:r>
            <w:proofErr w:type="gramStart"/>
            <w:r w:rsidRPr="00825D74">
              <w:rPr>
                <w:b/>
                <w:sz w:val="20"/>
                <w:szCs w:val="20"/>
              </w:rPr>
              <w:t>IMOBILIÁRIO</w:t>
            </w:r>
            <w:proofErr w:type="gramEnd"/>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7.1.</w:t>
            </w:r>
          </w:p>
        </w:tc>
        <w:tc>
          <w:tcPr>
            <w:tcW w:w="2987" w:type="pct"/>
          </w:tcPr>
          <w:p w:rsidR="00352923" w:rsidRPr="00825D74" w:rsidRDefault="00352923" w:rsidP="00C70A4F">
            <w:pPr>
              <w:rPr>
                <w:sz w:val="20"/>
                <w:szCs w:val="20"/>
              </w:rPr>
            </w:pPr>
            <w:r w:rsidRPr="00825D74">
              <w:rPr>
                <w:sz w:val="20"/>
                <w:szCs w:val="20"/>
              </w:rPr>
              <w:t>Informações sobre a gestão da frota de veículos próprios e locados de terceiros, inclusive sobre as normas que regulamentam o uso da frota e os custos envolvidos.</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7.2.</w:t>
            </w:r>
          </w:p>
        </w:tc>
        <w:tc>
          <w:tcPr>
            <w:tcW w:w="2987" w:type="pct"/>
          </w:tcPr>
          <w:p w:rsidR="00352923" w:rsidRPr="00825D74" w:rsidRDefault="00352923" w:rsidP="00C70A4F">
            <w:pPr>
              <w:rPr>
                <w:sz w:val="20"/>
                <w:szCs w:val="20"/>
              </w:rPr>
            </w:pPr>
            <w:r w:rsidRPr="00825D74">
              <w:rPr>
                <w:sz w:val="20"/>
                <w:szCs w:val="20"/>
              </w:rPr>
              <w:t>Informações sobre a gestão do patrimônio imobiliário próprio, da União que esteja sob a responsabilidade da unidade e dos imóveis locados de terceiros.</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t>8.</w:t>
            </w:r>
            <w:r w:rsidRPr="00825D74">
              <w:rPr>
                <w:b/>
                <w:sz w:val="20"/>
                <w:szCs w:val="20"/>
              </w:rPr>
              <w:tab/>
              <w:t xml:space="preserve">GESTÃO DA TECNOLOGIA DA INFORMAÇÃO E GESTÃO DO </w:t>
            </w:r>
            <w:proofErr w:type="gramStart"/>
            <w:r w:rsidRPr="00825D74">
              <w:rPr>
                <w:b/>
                <w:sz w:val="20"/>
                <w:szCs w:val="20"/>
              </w:rPr>
              <w:t>CONHECIMENTO</w:t>
            </w:r>
            <w:proofErr w:type="gramEnd"/>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8.1.</w:t>
            </w:r>
          </w:p>
        </w:tc>
        <w:tc>
          <w:tcPr>
            <w:tcW w:w="2987" w:type="pct"/>
          </w:tcPr>
          <w:p w:rsidR="00352923" w:rsidRPr="00825D74" w:rsidRDefault="00352923" w:rsidP="00C70A4F">
            <w:pPr>
              <w:rPr>
                <w:bCs/>
                <w:sz w:val="20"/>
                <w:szCs w:val="20"/>
              </w:rPr>
            </w:pPr>
            <w:r w:rsidRPr="00825D74">
              <w:rPr>
                <w:bCs/>
                <w:sz w:val="20"/>
                <w:szCs w:val="20"/>
              </w:rPr>
              <w:t>Informações sobre a gestão de tecnologia da informação (TI) da UJ, contemplando os seguintes aspectos:</w:t>
            </w:r>
          </w:p>
          <w:p w:rsidR="00352923" w:rsidRPr="00825D74" w:rsidRDefault="00352923" w:rsidP="00C70A4F">
            <w:pPr>
              <w:rPr>
                <w:sz w:val="20"/>
                <w:szCs w:val="20"/>
              </w:rPr>
            </w:pPr>
            <w:r w:rsidRPr="00825D74">
              <w:rPr>
                <w:sz w:val="20"/>
                <w:szCs w:val="20"/>
              </w:rPr>
              <w:t>a) Planejamento da área;</w:t>
            </w:r>
          </w:p>
          <w:p w:rsidR="00352923" w:rsidRPr="00825D74" w:rsidRDefault="00352923" w:rsidP="00C70A4F">
            <w:pPr>
              <w:rPr>
                <w:sz w:val="20"/>
                <w:szCs w:val="20"/>
              </w:rPr>
            </w:pPr>
            <w:r w:rsidRPr="00825D74">
              <w:rPr>
                <w:sz w:val="20"/>
                <w:szCs w:val="20"/>
              </w:rPr>
              <w:t>b) Perfil dos recursos humanos envolvidos;</w:t>
            </w:r>
          </w:p>
          <w:p w:rsidR="00352923" w:rsidRPr="00825D74" w:rsidRDefault="00352923" w:rsidP="00C70A4F">
            <w:pPr>
              <w:rPr>
                <w:sz w:val="20"/>
                <w:szCs w:val="20"/>
              </w:rPr>
            </w:pPr>
            <w:r w:rsidRPr="00825D74">
              <w:rPr>
                <w:sz w:val="20"/>
                <w:szCs w:val="20"/>
              </w:rPr>
              <w:t>c) Segurança da informação;</w:t>
            </w:r>
          </w:p>
          <w:p w:rsidR="00352923" w:rsidRPr="00825D74" w:rsidRDefault="00352923" w:rsidP="00C70A4F">
            <w:pPr>
              <w:rPr>
                <w:sz w:val="20"/>
                <w:szCs w:val="20"/>
              </w:rPr>
            </w:pPr>
            <w:r w:rsidRPr="00825D74">
              <w:rPr>
                <w:sz w:val="20"/>
                <w:szCs w:val="20"/>
              </w:rPr>
              <w:t>d) Desenvolvimento e produção de sistemas;</w:t>
            </w:r>
          </w:p>
          <w:p w:rsidR="00352923" w:rsidRPr="00825D74" w:rsidRDefault="00352923" w:rsidP="00C70A4F">
            <w:pPr>
              <w:rPr>
                <w:sz w:val="20"/>
                <w:szCs w:val="20"/>
              </w:rPr>
            </w:pPr>
            <w:r w:rsidRPr="00825D74">
              <w:rPr>
                <w:sz w:val="20"/>
                <w:szCs w:val="20"/>
              </w:rPr>
              <w:t>e) Contratação e gestão de bens e serviços de TI.</w:t>
            </w:r>
          </w:p>
        </w:tc>
        <w:tc>
          <w:tcPr>
            <w:tcW w:w="993" w:type="pct"/>
          </w:tcPr>
          <w:p w:rsidR="00352923" w:rsidRPr="00825D74" w:rsidRDefault="00352923" w:rsidP="00C70A4F">
            <w:pPr>
              <w:rPr>
                <w:bCs/>
                <w:sz w:val="20"/>
                <w:szCs w:val="20"/>
              </w:rPr>
            </w:pPr>
          </w:p>
        </w:tc>
        <w:tc>
          <w:tcPr>
            <w:tcW w:w="709" w:type="pct"/>
          </w:tcPr>
          <w:p w:rsidR="00352923" w:rsidRPr="00825D74" w:rsidRDefault="00352923" w:rsidP="00C70A4F">
            <w:pPr>
              <w:rPr>
                <w:bCs/>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lastRenderedPageBreak/>
              <w:t>9.</w:t>
            </w:r>
            <w:r w:rsidRPr="00825D74">
              <w:rPr>
                <w:b/>
                <w:sz w:val="20"/>
                <w:szCs w:val="20"/>
              </w:rPr>
              <w:tab/>
              <w:t xml:space="preserve">GESTÃO DO USO DOS RECURSOS RENOVÁVEIS E SUSTENTABILIDADE </w:t>
            </w:r>
            <w:proofErr w:type="gramStart"/>
            <w:r w:rsidRPr="00825D74">
              <w:rPr>
                <w:b/>
                <w:sz w:val="20"/>
                <w:szCs w:val="20"/>
              </w:rPr>
              <w:t>AMBIENTAL</w:t>
            </w:r>
            <w:proofErr w:type="gramEnd"/>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9.1.</w:t>
            </w:r>
          </w:p>
        </w:tc>
        <w:tc>
          <w:tcPr>
            <w:tcW w:w="2987" w:type="pct"/>
          </w:tcPr>
          <w:p w:rsidR="00352923" w:rsidRPr="00825D74" w:rsidRDefault="00352923" w:rsidP="00C70A4F">
            <w:pPr>
              <w:rPr>
                <w:sz w:val="20"/>
                <w:szCs w:val="20"/>
              </w:rPr>
            </w:pPr>
            <w:r w:rsidRPr="00825D74">
              <w:rPr>
                <w:sz w:val="20"/>
                <w:szCs w:val="20"/>
              </w:rPr>
              <w:t>Informações quanto à adoção de critérios de sustentabilidade ambiental na aquisição de bens, materiais de tecnologia da informação (TI) e na contratação de serviços ou obras, tendo como referência a Instrução Normativa nº 1/2010 e a Portaria nº 2/2010, ambas da Secretaria de Logística e Tecnologia da Informação do Ministério do Planejamento, Orçamento e Gestão e informações relacionadas à separação de resíduos recicláveis descartados em conformidade com o Decreto nº 5.940/2006.</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9.2.</w:t>
            </w:r>
          </w:p>
        </w:tc>
        <w:tc>
          <w:tcPr>
            <w:tcW w:w="2987" w:type="pct"/>
          </w:tcPr>
          <w:p w:rsidR="00352923" w:rsidRPr="00825D74" w:rsidRDefault="00352923" w:rsidP="00C70A4F">
            <w:pPr>
              <w:rPr>
                <w:sz w:val="20"/>
                <w:szCs w:val="20"/>
              </w:rPr>
            </w:pPr>
            <w:r w:rsidRPr="00825D74">
              <w:rPr>
                <w:sz w:val="20"/>
                <w:szCs w:val="20"/>
              </w:rPr>
              <w:t>Informações sobre medidas adotadas pelas unidades que compõem o relatório de gestão para redução de consumo próprio de papel, energia elétrica e água, contemplando:</w:t>
            </w:r>
          </w:p>
          <w:p w:rsidR="00352923" w:rsidRPr="00825D74" w:rsidRDefault="00352923" w:rsidP="00C70A4F">
            <w:pPr>
              <w:rPr>
                <w:sz w:val="20"/>
                <w:szCs w:val="20"/>
              </w:rPr>
            </w:pPr>
            <w:r w:rsidRPr="00825D74">
              <w:rPr>
                <w:sz w:val="20"/>
                <w:szCs w:val="20"/>
              </w:rPr>
              <w:t>a) Detalhamento da política adotada pela unidade para estimular o uso racional desses recursos;</w:t>
            </w:r>
          </w:p>
          <w:p w:rsidR="00352923" w:rsidRPr="00825D74" w:rsidRDefault="00352923" w:rsidP="00C70A4F">
            <w:pPr>
              <w:rPr>
                <w:sz w:val="20"/>
                <w:szCs w:val="20"/>
              </w:rPr>
            </w:pPr>
            <w:r w:rsidRPr="00825D74">
              <w:rPr>
                <w:sz w:val="20"/>
                <w:szCs w:val="20"/>
              </w:rPr>
              <w:t>b) Adesão a programas de gestão da sustentabilidade, tais como Agenda Ambiental na Administração Pública (A3P), Programa de Eficiência do Gasto (PEG) e Programa de Eficiência Energética em Prédios Públicos (</w:t>
            </w:r>
            <w:proofErr w:type="spellStart"/>
            <w:r w:rsidRPr="00825D74">
              <w:rPr>
                <w:sz w:val="20"/>
                <w:szCs w:val="20"/>
              </w:rPr>
              <w:t>Procel</w:t>
            </w:r>
            <w:proofErr w:type="spellEnd"/>
            <w:r w:rsidRPr="00825D74">
              <w:rPr>
                <w:sz w:val="20"/>
                <w:szCs w:val="20"/>
              </w:rPr>
              <w:t xml:space="preserve"> EPP);</w:t>
            </w:r>
          </w:p>
          <w:p w:rsidR="00352923" w:rsidRPr="00825D74" w:rsidRDefault="00352923" w:rsidP="00C70A4F">
            <w:pPr>
              <w:rPr>
                <w:sz w:val="20"/>
                <w:szCs w:val="20"/>
              </w:rPr>
            </w:pPr>
            <w:r w:rsidRPr="00825D74">
              <w:rPr>
                <w:sz w:val="20"/>
                <w:szCs w:val="20"/>
              </w:rPr>
              <w:t>c) Evolução histórica do consumo, em valores monetários e quantitativos, de energia elétrica e água no âmbito das unidades que compõem o relatório de gestão.</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t>10.</w:t>
            </w:r>
            <w:r w:rsidRPr="00825D74">
              <w:rPr>
                <w:b/>
                <w:sz w:val="20"/>
                <w:szCs w:val="20"/>
              </w:rPr>
              <w:tab/>
              <w:t xml:space="preserve">CONFORMIDADES E TRATAMENTO DE DISPOSIÇÕES LEGAIS E </w:t>
            </w:r>
            <w:proofErr w:type="gramStart"/>
            <w:r w:rsidRPr="00825D74">
              <w:rPr>
                <w:b/>
                <w:sz w:val="20"/>
                <w:szCs w:val="20"/>
              </w:rPr>
              <w:t>NORMATIVAS</w:t>
            </w:r>
            <w:proofErr w:type="gramEnd"/>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10.1.</w:t>
            </w:r>
          </w:p>
        </w:tc>
        <w:tc>
          <w:tcPr>
            <w:tcW w:w="2987" w:type="pct"/>
          </w:tcPr>
          <w:p w:rsidR="00352923" w:rsidRPr="00825D74" w:rsidRDefault="00352923" w:rsidP="00C70A4F">
            <w:pPr>
              <w:rPr>
                <w:sz w:val="20"/>
                <w:szCs w:val="20"/>
              </w:rPr>
            </w:pPr>
            <w:r w:rsidRPr="00825D74">
              <w:rPr>
                <w:sz w:val="20"/>
                <w:szCs w:val="20"/>
              </w:rPr>
              <w:t>Informações sobre o tratamento de deliberações exaradas em acórdãos do TCU e em relatórios de auditoria do órgão de controle interno a que a unidade jurisdicionada se vincula.</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10.2.</w:t>
            </w:r>
          </w:p>
        </w:tc>
        <w:tc>
          <w:tcPr>
            <w:tcW w:w="2987" w:type="pct"/>
          </w:tcPr>
          <w:p w:rsidR="00352923" w:rsidRPr="00825D74" w:rsidRDefault="00352923" w:rsidP="009E5354">
            <w:pPr>
              <w:rPr>
                <w:sz w:val="20"/>
                <w:szCs w:val="20"/>
              </w:rPr>
            </w:pPr>
            <w:r w:rsidRPr="00825D74">
              <w:rPr>
                <w:sz w:val="20"/>
                <w:szCs w:val="20"/>
              </w:rPr>
              <w:t>Informações sobre a atuação da unidade de auditoria interna da entidade, bem como sobre o tratamento de recomendações por ela expedidas.</w:t>
            </w:r>
          </w:p>
        </w:tc>
        <w:tc>
          <w:tcPr>
            <w:tcW w:w="993" w:type="pct"/>
          </w:tcPr>
          <w:p w:rsidR="00352923" w:rsidRPr="00825D74" w:rsidRDefault="00352923" w:rsidP="009E5354">
            <w:pPr>
              <w:rPr>
                <w:sz w:val="20"/>
                <w:szCs w:val="20"/>
              </w:rPr>
            </w:pPr>
          </w:p>
        </w:tc>
        <w:tc>
          <w:tcPr>
            <w:tcW w:w="709" w:type="pct"/>
          </w:tcPr>
          <w:p w:rsidR="00352923" w:rsidRPr="00825D74" w:rsidRDefault="00352923" w:rsidP="009E5354">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10.3.</w:t>
            </w:r>
          </w:p>
        </w:tc>
        <w:tc>
          <w:tcPr>
            <w:tcW w:w="2987" w:type="pct"/>
          </w:tcPr>
          <w:p w:rsidR="00352923" w:rsidRPr="00825D74" w:rsidRDefault="00352923" w:rsidP="00C70A4F">
            <w:pPr>
              <w:rPr>
                <w:sz w:val="20"/>
                <w:szCs w:val="20"/>
              </w:rPr>
            </w:pPr>
            <w:r w:rsidRPr="00825D74">
              <w:rPr>
                <w:sz w:val="20"/>
                <w:szCs w:val="20"/>
              </w:rPr>
              <w:t>Informações sobre o cumprimento das obrigações estabelecidas na Lei nº 8.730, de 10 de novembro de 1993, relacionadas à entrega e ao tratamento das declarações de bens e rendas.</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Height w:val="48"/>
        </w:trPr>
        <w:tc>
          <w:tcPr>
            <w:tcW w:w="311" w:type="pct"/>
            <w:vAlign w:val="center"/>
          </w:tcPr>
          <w:p w:rsidR="00352923" w:rsidRPr="00825D74" w:rsidRDefault="00352923" w:rsidP="00C70A4F">
            <w:pPr>
              <w:rPr>
                <w:sz w:val="20"/>
                <w:szCs w:val="20"/>
              </w:rPr>
            </w:pPr>
            <w:r w:rsidRPr="00825D74">
              <w:rPr>
                <w:sz w:val="20"/>
                <w:szCs w:val="20"/>
              </w:rPr>
              <w:t>10.4.</w:t>
            </w:r>
          </w:p>
        </w:tc>
        <w:tc>
          <w:tcPr>
            <w:tcW w:w="2987" w:type="pct"/>
          </w:tcPr>
          <w:p w:rsidR="00352923" w:rsidRPr="00825D74" w:rsidRDefault="00352923" w:rsidP="00C70A4F">
            <w:pPr>
              <w:rPr>
                <w:sz w:val="20"/>
                <w:szCs w:val="20"/>
              </w:rPr>
            </w:pPr>
            <w:r w:rsidRPr="00825D74">
              <w:rPr>
                <w:sz w:val="20"/>
                <w:szCs w:val="20"/>
              </w:rPr>
              <w:t>Declaração da área responsável atestando que as informações referentes a contratos e convênios ou outros instrumentos congêneres estão disponíveis e atualizadas, respectivamente, no Sistema Integrado de Administração de Serviços Gerais – SIASG e no Sistema de Gestão de Convênios, Contratos de Repasse e Termos de Parceria – SICONV, conforme estabelece o art. 19 da Lei nº 12.465, de 12 de agosto de 2011.</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t>11.</w:t>
            </w:r>
            <w:r w:rsidRPr="00825D74">
              <w:rPr>
                <w:b/>
                <w:sz w:val="20"/>
                <w:szCs w:val="20"/>
              </w:rPr>
              <w:tab/>
              <w:t>INFORMAÇÕES CONTÁBEIS</w:t>
            </w:r>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11.1.</w:t>
            </w:r>
          </w:p>
        </w:tc>
        <w:tc>
          <w:tcPr>
            <w:tcW w:w="2987" w:type="pct"/>
          </w:tcPr>
          <w:p w:rsidR="00352923" w:rsidRPr="00825D74" w:rsidRDefault="00352923" w:rsidP="00C70A4F">
            <w:pPr>
              <w:rPr>
                <w:sz w:val="20"/>
                <w:szCs w:val="20"/>
              </w:rPr>
            </w:pPr>
            <w:r w:rsidRPr="00825D74">
              <w:rPr>
                <w:sz w:val="20"/>
                <w:szCs w:val="20"/>
              </w:rPr>
              <w:t xml:space="preserve">Informações sobre a adoção de critérios e procedimentos estabelecidos pelas Normas Brasileiras de Contabilidade Aplicada ao Setor Público NBC T 16.9 e NBC T 16.10, publicadas pelas Resoluções CFC nº 1.136/2008 e 1.137/2008, respectivamente, para tratamento contábil da depreciação, da amortização e da exaustão de itens do patrimônio e avaliação e mensuração de ativos e passivos da unidade. </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11.2.</w:t>
            </w:r>
          </w:p>
        </w:tc>
        <w:tc>
          <w:tcPr>
            <w:tcW w:w="2987" w:type="pct"/>
          </w:tcPr>
          <w:p w:rsidR="00352923" w:rsidRPr="00825D74" w:rsidRDefault="00352923" w:rsidP="00C70A4F">
            <w:pPr>
              <w:rPr>
                <w:sz w:val="20"/>
                <w:szCs w:val="20"/>
              </w:rPr>
            </w:pPr>
            <w:r w:rsidRPr="00825D74">
              <w:rPr>
                <w:sz w:val="20"/>
                <w:szCs w:val="20"/>
              </w:rPr>
              <w:t>Declaração do contador responsável por unidade jurisdicionada que tenha executado sua contabilidade no Sistema Integrado de Administração Financeira do Governo Federal – SIAFI, que as Demonstrações Contábeis (Balanço Patrimonial, Balanço Orçamentário, Balanço Financeiro, Demonstração das Variações Patrimoniais, Demonstração dos Fluxos de Caixa e Demonstração do Resultado Econômico) previstas pela Lei nº 4.320, de 17 de março de 1964, e pela Norma Brasileira de Contabilidade Aplicada ao Setor Público NBC T 16.6 aprovada pela Resolução CFC nº 1.133/2008, assim como o demonstrativo levantado por unidade gestora responsável – UGR (</w:t>
            </w:r>
            <w:proofErr w:type="gramStart"/>
            <w:r w:rsidRPr="00825D74">
              <w:rPr>
                <w:sz w:val="20"/>
                <w:szCs w:val="20"/>
              </w:rPr>
              <w:t>válido apenas para as unidades gestoras não executoras</w:t>
            </w:r>
            <w:proofErr w:type="gramEnd"/>
            <w:r w:rsidRPr="00825D74">
              <w:rPr>
                <w:sz w:val="20"/>
                <w:szCs w:val="20"/>
              </w:rPr>
              <w:t>) refletem a adequada situação orçamentária, financeira e patrimonial da unidade jurisdicionada que apresenta relatório de gestão.</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lastRenderedPageBreak/>
              <w:t>11.3.</w:t>
            </w:r>
          </w:p>
        </w:tc>
        <w:tc>
          <w:tcPr>
            <w:tcW w:w="2987" w:type="pct"/>
          </w:tcPr>
          <w:p w:rsidR="00352923" w:rsidRPr="00825D74" w:rsidRDefault="00352923" w:rsidP="00C70A4F">
            <w:pPr>
              <w:rPr>
                <w:sz w:val="20"/>
                <w:szCs w:val="20"/>
              </w:rPr>
            </w:pPr>
            <w:r w:rsidRPr="00825D74">
              <w:rPr>
                <w:sz w:val="20"/>
                <w:szCs w:val="20"/>
              </w:rPr>
              <w:t xml:space="preserve">Demonstrações Contábeis previstas pela Lei nº 4.320/64 e pela NBC 16.6 aprovada pela Resolução CFC nº 1.133/2008, incluindo as notas explicativas, no caso das unidades </w:t>
            </w:r>
            <w:r w:rsidRPr="00825D74">
              <w:rPr>
                <w:b/>
                <w:sz w:val="20"/>
                <w:szCs w:val="20"/>
              </w:rPr>
              <w:t>que não executaram</w:t>
            </w:r>
            <w:r w:rsidRPr="00825D74">
              <w:rPr>
                <w:sz w:val="20"/>
                <w:szCs w:val="20"/>
              </w:rPr>
              <w:t xml:space="preserve"> sua contabilidade no Sistema Integrado de Administração Financeira do Governo Federal – SIAFI.</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11.6.</w:t>
            </w:r>
          </w:p>
        </w:tc>
        <w:tc>
          <w:tcPr>
            <w:tcW w:w="2987" w:type="pct"/>
          </w:tcPr>
          <w:p w:rsidR="00352923" w:rsidRPr="00825D74" w:rsidRDefault="00352923" w:rsidP="00C70A4F">
            <w:pPr>
              <w:rPr>
                <w:sz w:val="20"/>
                <w:szCs w:val="20"/>
              </w:rPr>
            </w:pPr>
            <w:r w:rsidRPr="00825D74">
              <w:rPr>
                <w:sz w:val="20"/>
                <w:szCs w:val="20"/>
              </w:rPr>
              <w:t>Parecer da auditoria independente sobre as demonstrações contábeis, quando a legislação dispuser a respeito.</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r w:rsidR="00352923" w:rsidRPr="00825D74" w:rsidTr="00352923">
        <w:trPr>
          <w:cantSplit/>
        </w:trPr>
        <w:tc>
          <w:tcPr>
            <w:tcW w:w="3298" w:type="pct"/>
            <w:gridSpan w:val="2"/>
            <w:shd w:val="clear" w:color="auto" w:fill="F2F2F2"/>
            <w:vAlign w:val="center"/>
          </w:tcPr>
          <w:p w:rsidR="00352923" w:rsidRPr="00825D74" w:rsidRDefault="00352923" w:rsidP="00C70A4F">
            <w:pPr>
              <w:rPr>
                <w:b/>
                <w:sz w:val="20"/>
                <w:szCs w:val="20"/>
              </w:rPr>
            </w:pPr>
            <w:r w:rsidRPr="00825D74">
              <w:rPr>
                <w:b/>
                <w:sz w:val="20"/>
                <w:szCs w:val="20"/>
              </w:rPr>
              <w:t>12.</w:t>
            </w:r>
            <w:r w:rsidRPr="00825D74">
              <w:rPr>
                <w:b/>
                <w:sz w:val="20"/>
                <w:szCs w:val="20"/>
              </w:rPr>
              <w:tab/>
              <w:t xml:space="preserve">OUTRAS INFORMAÇÕES SOBRE A </w:t>
            </w:r>
            <w:proofErr w:type="gramStart"/>
            <w:r w:rsidRPr="00825D74">
              <w:rPr>
                <w:b/>
                <w:sz w:val="20"/>
                <w:szCs w:val="20"/>
              </w:rPr>
              <w:t>GESTÃO</w:t>
            </w:r>
            <w:proofErr w:type="gramEnd"/>
          </w:p>
        </w:tc>
        <w:tc>
          <w:tcPr>
            <w:tcW w:w="993" w:type="pct"/>
            <w:shd w:val="clear" w:color="auto" w:fill="F2F2F2"/>
          </w:tcPr>
          <w:p w:rsidR="00352923" w:rsidRPr="00825D74" w:rsidRDefault="00352923" w:rsidP="00C70A4F">
            <w:pPr>
              <w:rPr>
                <w:b/>
                <w:sz w:val="20"/>
                <w:szCs w:val="20"/>
              </w:rPr>
            </w:pPr>
          </w:p>
        </w:tc>
        <w:tc>
          <w:tcPr>
            <w:tcW w:w="709" w:type="pct"/>
            <w:shd w:val="clear" w:color="auto" w:fill="F2F2F2"/>
          </w:tcPr>
          <w:p w:rsidR="00352923" w:rsidRPr="00825D74" w:rsidRDefault="00352923" w:rsidP="00C70A4F">
            <w:pPr>
              <w:rPr>
                <w:b/>
                <w:sz w:val="20"/>
                <w:szCs w:val="20"/>
              </w:rPr>
            </w:pPr>
          </w:p>
        </w:tc>
      </w:tr>
      <w:tr w:rsidR="00352923" w:rsidRPr="00825D74" w:rsidTr="00352923">
        <w:trPr>
          <w:cantSplit/>
        </w:trPr>
        <w:tc>
          <w:tcPr>
            <w:tcW w:w="311" w:type="pct"/>
            <w:vAlign w:val="center"/>
          </w:tcPr>
          <w:p w:rsidR="00352923" w:rsidRPr="00825D74" w:rsidRDefault="00352923" w:rsidP="00C70A4F">
            <w:pPr>
              <w:rPr>
                <w:sz w:val="20"/>
                <w:szCs w:val="20"/>
              </w:rPr>
            </w:pPr>
            <w:r w:rsidRPr="00825D74">
              <w:rPr>
                <w:sz w:val="20"/>
                <w:szCs w:val="20"/>
              </w:rPr>
              <w:t>12.1.</w:t>
            </w:r>
          </w:p>
        </w:tc>
        <w:tc>
          <w:tcPr>
            <w:tcW w:w="2987" w:type="pct"/>
          </w:tcPr>
          <w:p w:rsidR="00352923" w:rsidRPr="00825D74" w:rsidRDefault="00352923" w:rsidP="00C70A4F">
            <w:pPr>
              <w:rPr>
                <w:sz w:val="20"/>
                <w:szCs w:val="20"/>
              </w:rPr>
            </w:pPr>
            <w:r w:rsidRPr="00825D74">
              <w:rPr>
                <w:sz w:val="20"/>
                <w:szCs w:val="20"/>
              </w:rPr>
              <w:t>Outras informações consideradas relevantes pela unidade para demonstrar a conformidade e o desempenho da gestão no exercício.</w:t>
            </w:r>
          </w:p>
        </w:tc>
        <w:tc>
          <w:tcPr>
            <w:tcW w:w="993" w:type="pct"/>
          </w:tcPr>
          <w:p w:rsidR="00352923" w:rsidRPr="00825D74" w:rsidRDefault="00352923" w:rsidP="00C70A4F">
            <w:pPr>
              <w:rPr>
                <w:sz w:val="20"/>
                <w:szCs w:val="20"/>
              </w:rPr>
            </w:pPr>
          </w:p>
        </w:tc>
        <w:tc>
          <w:tcPr>
            <w:tcW w:w="709" w:type="pct"/>
          </w:tcPr>
          <w:p w:rsidR="00352923" w:rsidRPr="00825D74" w:rsidRDefault="00352923" w:rsidP="00C70A4F">
            <w:pPr>
              <w:rPr>
                <w:sz w:val="20"/>
                <w:szCs w:val="20"/>
              </w:rPr>
            </w:pPr>
          </w:p>
        </w:tc>
      </w:tr>
    </w:tbl>
    <w:p w:rsidR="00E253AE" w:rsidRPr="00825D74" w:rsidRDefault="00E253AE">
      <w:pPr>
        <w:rPr>
          <w:sz w:val="20"/>
          <w:szCs w:val="20"/>
        </w:rPr>
      </w:pPr>
    </w:p>
    <w:p w:rsidR="00352923" w:rsidRPr="00825D74" w:rsidRDefault="00352923">
      <w:pPr>
        <w:rPr>
          <w:sz w:val="20"/>
          <w:szCs w:val="20"/>
        </w:rPr>
      </w:pPr>
    </w:p>
    <w:p w:rsidR="00C55655" w:rsidRPr="00825D74" w:rsidRDefault="00C55655">
      <w:pPr>
        <w:rPr>
          <w:sz w:val="20"/>
          <w:szCs w:val="20"/>
        </w:rPr>
      </w:pPr>
    </w:p>
    <w:p w:rsidR="001477A6" w:rsidRPr="00825D74" w:rsidRDefault="001477A6" w:rsidP="00352923">
      <w:pPr>
        <w:spacing w:line="244" w:lineRule="auto"/>
        <w:jc w:val="center"/>
        <w:rPr>
          <w:b/>
          <w:bCs/>
          <w:sz w:val="20"/>
          <w:szCs w:val="20"/>
        </w:rPr>
      </w:pPr>
    </w:p>
    <w:p w:rsidR="006D75AD" w:rsidRPr="00825D74" w:rsidRDefault="006D75AD" w:rsidP="006D75AD">
      <w:pPr>
        <w:spacing w:line="244" w:lineRule="auto"/>
        <w:jc w:val="center"/>
        <w:rPr>
          <w:b/>
          <w:bCs/>
          <w:sz w:val="20"/>
          <w:szCs w:val="20"/>
        </w:rPr>
      </w:pPr>
    </w:p>
    <w:p w:rsidR="006D75AD" w:rsidRPr="00825D74" w:rsidRDefault="006D75AD" w:rsidP="006D75AD">
      <w:pPr>
        <w:spacing w:line="244" w:lineRule="auto"/>
        <w:jc w:val="center"/>
        <w:rPr>
          <w:b/>
          <w:bCs/>
          <w:sz w:val="20"/>
          <w:szCs w:val="20"/>
        </w:rPr>
      </w:pPr>
      <w:r w:rsidRPr="00825D74">
        <w:rPr>
          <w:b/>
          <w:bCs/>
          <w:sz w:val="20"/>
          <w:szCs w:val="20"/>
        </w:rPr>
        <w:t>PARTE B – CONTEÚDO ESPECÍFICO POR UNIDADE JURISDICIONADA OU GRUPO DE UNIDADES AFINS</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
        <w:gridCol w:w="5970"/>
        <w:gridCol w:w="1985"/>
        <w:gridCol w:w="1417"/>
      </w:tblGrid>
      <w:tr w:rsidR="006D75AD" w:rsidRPr="00825D74" w:rsidTr="00C70A4F">
        <w:trPr>
          <w:cantSplit/>
          <w:trHeight w:val="1020"/>
          <w:tblHeader/>
        </w:trPr>
        <w:tc>
          <w:tcPr>
            <w:tcW w:w="311" w:type="pct"/>
            <w:shd w:val="clear" w:color="auto" w:fill="C0C0C0"/>
            <w:textDirection w:val="btLr"/>
            <w:vAlign w:val="center"/>
          </w:tcPr>
          <w:p w:rsidR="006D75AD" w:rsidRPr="00825D74" w:rsidRDefault="006D75AD" w:rsidP="00C70A4F">
            <w:pPr>
              <w:spacing w:line="244" w:lineRule="auto"/>
              <w:jc w:val="center"/>
              <w:rPr>
                <w:b/>
                <w:bCs/>
                <w:sz w:val="20"/>
                <w:szCs w:val="20"/>
              </w:rPr>
            </w:pPr>
            <w:r w:rsidRPr="00825D74">
              <w:rPr>
                <w:b/>
                <w:bCs/>
                <w:sz w:val="20"/>
                <w:szCs w:val="20"/>
              </w:rPr>
              <w:t>Item e Subitem</w:t>
            </w:r>
          </w:p>
        </w:tc>
        <w:tc>
          <w:tcPr>
            <w:tcW w:w="2987" w:type="pct"/>
            <w:shd w:val="clear" w:color="auto" w:fill="C0C0C0"/>
            <w:vAlign w:val="center"/>
          </w:tcPr>
          <w:p w:rsidR="006D75AD" w:rsidRPr="00825D74" w:rsidRDefault="006D75AD" w:rsidP="00C70A4F">
            <w:pPr>
              <w:spacing w:line="244" w:lineRule="auto"/>
              <w:jc w:val="center"/>
              <w:rPr>
                <w:b/>
                <w:bCs/>
                <w:sz w:val="20"/>
                <w:szCs w:val="20"/>
              </w:rPr>
            </w:pPr>
            <w:r w:rsidRPr="00825D74">
              <w:rPr>
                <w:b/>
                <w:bCs/>
                <w:sz w:val="20"/>
                <w:szCs w:val="20"/>
              </w:rPr>
              <w:t>INFORMAÇÕES ESPECÍFICAS A CONSTAR NO RELATÓRIO DE GESTÃO</w:t>
            </w:r>
          </w:p>
        </w:tc>
        <w:tc>
          <w:tcPr>
            <w:tcW w:w="993" w:type="pct"/>
            <w:shd w:val="clear" w:color="auto" w:fill="C0C0C0"/>
          </w:tcPr>
          <w:p w:rsidR="006D75AD" w:rsidRPr="00825D74" w:rsidRDefault="006D75AD" w:rsidP="00C70A4F">
            <w:pPr>
              <w:spacing w:line="244" w:lineRule="auto"/>
              <w:jc w:val="center"/>
              <w:rPr>
                <w:b/>
                <w:bCs/>
                <w:sz w:val="20"/>
                <w:szCs w:val="20"/>
              </w:rPr>
            </w:pPr>
            <w:r w:rsidRPr="00825D74">
              <w:rPr>
                <w:b/>
                <w:bCs/>
                <w:sz w:val="20"/>
                <w:szCs w:val="20"/>
              </w:rPr>
              <w:t>Responsável</w:t>
            </w:r>
          </w:p>
        </w:tc>
        <w:tc>
          <w:tcPr>
            <w:tcW w:w="709" w:type="pct"/>
            <w:shd w:val="clear" w:color="auto" w:fill="C0C0C0"/>
          </w:tcPr>
          <w:p w:rsidR="006D75AD" w:rsidRPr="00825D74" w:rsidRDefault="006D75AD" w:rsidP="00C70A4F">
            <w:pPr>
              <w:spacing w:line="244" w:lineRule="auto"/>
              <w:jc w:val="center"/>
              <w:rPr>
                <w:b/>
                <w:bCs/>
                <w:sz w:val="20"/>
                <w:szCs w:val="20"/>
              </w:rPr>
            </w:pPr>
            <w:r w:rsidRPr="00825D74">
              <w:rPr>
                <w:b/>
                <w:bCs/>
                <w:sz w:val="20"/>
                <w:szCs w:val="20"/>
              </w:rPr>
              <w:t>Prazo</w:t>
            </w:r>
          </w:p>
        </w:tc>
      </w:tr>
      <w:tr w:rsidR="006D75AD" w:rsidRPr="00825D74" w:rsidTr="00C70A4F">
        <w:trPr>
          <w:cantSplit/>
        </w:trPr>
        <w:tc>
          <w:tcPr>
            <w:tcW w:w="311" w:type="pct"/>
            <w:vAlign w:val="center"/>
          </w:tcPr>
          <w:p w:rsidR="006D75AD" w:rsidRPr="00825D74" w:rsidRDefault="006D75AD" w:rsidP="00C70A4F">
            <w:pPr>
              <w:rPr>
                <w:sz w:val="20"/>
                <w:szCs w:val="20"/>
              </w:rPr>
            </w:pPr>
            <w:r w:rsidRPr="00825D74">
              <w:rPr>
                <w:sz w:val="20"/>
                <w:szCs w:val="20"/>
              </w:rPr>
              <w:t>7.</w:t>
            </w:r>
          </w:p>
        </w:tc>
        <w:tc>
          <w:tcPr>
            <w:tcW w:w="2987" w:type="pct"/>
            <w:vAlign w:val="center"/>
          </w:tcPr>
          <w:p w:rsidR="006D75AD" w:rsidRPr="00825D74" w:rsidRDefault="006D75AD" w:rsidP="006D75AD">
            <w:pPr>
              <w:jc w:val="both"/>
              <w:rPr>
                <w:b/>
                <w:sz w:val="20"/>
                <w:szCs w:val="20"/>
              </w:rPr>
            </w:pPr>
            <w:r w:rsidRPr="00825D74">
              <w:rPr>
                <w:b/>
                <w:sz w:val="20"/>
                <w:szCs w:val="20"/>
              </w:rPr>
              <w:t>Instituições Federais de Educação Tecnológica – IFET.</w:t>
            </w:r>
          </w:p>
          <w:p w:rsidR="006D75AD" w:rsidRPr="00825D74" w:rsidRDefault="006D75AD" w:rsidP="006D75AD">
            <w:pPr>
              <w:jc w:val="both"/>
              <w:rPr>
                <w:sz w:val="20"/>
                <w:szCs w:val="20"/>
              </w:rPr>
            </w:pPr>
          </w:p>
          <w:p w:rsidR="006D75AD" w:rsidRPr="00825D74" w:rsidRDefault="006D75AD" w:rsidP="006D75AD">
            <w:pPr>
              <w:jc w:val="both"/>
              <w:rPr>
                <w:bCs/>
                <w:sz w:val="20"/>
                <w:szCs w:val="20"/>
              </w:rPr>
            </w:pPr>
            <w:r w:rsidRPr="00825D74">
              <w:rPr>
                <w:bCs/>
                <w:sz w:val="20"/>
                <w:szCs w:val="20"/>
              </w:rPr>
              <w:t>a) Indicadores de desempenho nos termos da Decisão TCU nº 408/2002 – Plenário e modificações posteriores, no formato definido na portaria prevista no art. 4º, § 7º desta DN;</w:t>
            </w:r>
          </w:p>
          <w:p w:rsidR="006D75AD" w:rsidRPr="00825D74" w:rsidRDefault="006D75AD" w:rsidP="006D75AD">
            <w:pPr>
              <w:jc w:val="both"/>
              <w:rPr>
                <w:bCs/>
                <w:sz w:val="20"/>
                <w:szCs w:val="20"/>
              </w:rPr>
            </w:pPr>
            <w:r w:rsidRPr="00825D74">
              <w:rPr>
                <w:bCs/>
                <w:sz w:val="20"/>
                <w:szCs w:val="20"/>
              </w:rPr>
              <w:t>d) Análise dos resultados dos indicadores, indicando os motivos para eventuais desvios dos valores planejados;</w:t>
            </w:r>
          </w:p>
          <w:p w:rsidR="006D75AD" w:rsidRPr="00825D74" w:rsidRDefault="006D75AD" w:rsidP="006D75AD">
            <w:pPr>
              <w:jc w:val="both"/>
              <w:rPr>
                <w:sz w:val="20"/>
                <w:szCs w:val="20"/>
              </w:rPr>
            </w:pPr>
            <w:r w:rsidRPr="00825D74">
              <w:rPr>
                <w:bCs/>
                <w:sz w:val="20"/>
                <w:szCs w:val="20"/>
              </w:rPr>
              <w:t>b) Relação dos projetos desenvolvidos pelas fundações sob a égide da Lei nº 8.958/1994, discriminando o número do contrato ou do convênio, o objeto, o valor e a vigência, e, ainda, os recursos financeiros, materiais e humanos pertencentes à IFET envolvidos em cada projeto.</w:t>
            </w:r>
          </w:p>
        </w:tc>
        <w:tc>
          <w:tcPr>
            <w:tcW w:w="993" w:type="pct"/>
          </w:tcPr>
          <w:p w:rsidR="006D75AD" w:rsidRPr="00825D74" w:rsidRDefault="006D75AD" w:rsidP="00C70A4F">
            <w:pPr>
              <w:rPr>
                <w:bCs/>
                <w:sz w:val="20"/>
                <w:szCs w:val="20"/>
              </w:rPr>
            </w:pPr>
          </w:p>
        </w:tc>
        <w:tc>
          <w:tcPr>
            <w:tcW w:w="709" w:type="pct"/>
          </w:tcPr>
          <w:p w:rsidR="006D75AD" w:rsidRPr="00825D74" w:rsidRDefault="006D75AD" w:rsidP="00C70A4F">
            <w:pPr>
              <w:spacing w:line="244" w:lineRule="auto"/>
              <w:jc w:val="both"/>
              <w:rPr>
                <w:sz w:val="20"/>
                <w:szCs w:val="20"/>
              </w:rPr>
            </w:pPr>
          </w:p>
        </w:tc>
      </w:tr>
      <w:tr w:rsidR="006D75AD" w:rsidRPr="00825D74" w:rsidTr="00C70A4F">
        <w:trPr>
          <w:cantSplit/>
        </w:trPr>
        <w:tc>
          <w:tcPr>
            <w:tcW w:w="311" w:type="pct"/>
            <w:vAlign w:val="center"/>
          </w:tcPr>
          <w:p w:rsidR="006D75AD" w:rsidRPr="00825D74" w:rsidRDefault="006D75AD" w:rsidP="00C70A4F">
            <w:pPr>
              <w:rPr>
                <w:sz w:val="20"/>
                <w:szCs w:val="20"/>
              </w:rPr>
            </w:pPr>
            <w:r w:rsidRPr="00825D74">
              <w:rPr>
                <w:sz w:val="20"/>
                <w:szCs w:val="20"/>
              </w:rPr>
              <w:t>10.</w:t>
            </w:r>
          </w:p>
        </w:tc>
        <w:tc>
          <w:tcPr>
            <w:tcW w:w="2987" w:type="pct"/>
            <w:vAlign w:val="center"/>
          </w:tcPr>
          <w:p w:rsidR="006D75AD" w:rsidRPr="00825D74" w:rsidRDefault="006D75AD" w:rsidP="006D75AD">
            <w:pPr>
              <w:jc w:val="both"/>
              <w:rPr>
                <w:b/>
                <w:sz w:val="20"/>
                <w:szCs w:val="20"/>
              </w:rPr>
            </w:pPr>
            <w:r w:rsidRPr="00825D74">
              <w:rPr>
                <w:b/>
                <w:sz w:val="20"/>
                <w:szCs w:val="20"/>
              </w:rPr>
              <w:t xml:space="preserve">Secretaria de Educação Profissional e Tecnológica – SETEC/MEC (Acórdão nº 2.267/2005 – TCU – Plenário). </w:t>
            </w:r>
          </w:p>
          <w:p w:rsidR="006D75AD" w:rsidRPr="00825D74" w:rsidRDefault="006D75AD" w:rsidP="006D75AD">
            <w:pPr>
              <w:jc w:val="both"/>
              <w:rPr>
                <w:bCs/>
                <w:sz w:val="20"/>
                <w:szCs w:val="20"/>
              </w:rPr>
            </w:pPr>
          </w:p>
          <w:p w:rsidR="006D75AD" w:rsidRPr="00825D74" w:rsidRDefault="006D75AD" w:rsidP="006D75AD">
            <w:pPr>
              <w:jc w:val="both"/>
              <w:rPr>
                <w:sz w:val="20"/>
                <w:szCs w:val="20"/>
              </w:rPr>
            </w:pPr>
            <w:r w:rsidRPr="00825D74">
              <w:rPr>
                <w:bCs/>
                <w:sz w:val="20"/>
                <w:szCs w:val="20"/>
              </w:rPr>
              <w:t>Apreciação crítica sobre a evolução dos indicadores constantes do subitem 9.1.1 do Acórdão nº 2.267/2005 – TCU – Plenário, com base em análise consolidada das informações apresentadas pelos Centros e Institutos Federais de Educação, Ciência e Tecnologia, destacando aspectos positivos e oportunidades de melhoria do sistema de rede de instituições federais de ensino tecnológico.</w:t>
            </w:r>
          </w:p>
        </w:tc>
        <w:tc>
          <w:tcPr>
            <w:tcW w:w="993" w:type="pct"/>
          </w:tcPr>
          <w:p w:rsidR="006D75AD" w:rsidRPr="00825D74" w:rsidRDefault="006D75AD" w:rsidP="00C70A4F">
            <w:pPr>
              <w:rPr>
                <w:bCs/>
                <w:sz w:val="20"/>
                <w:szCs w:val="20"/>
              </w:rPr>
            </w:pPr>
          </w:p>
        </w:tc>
        <w:tc>
          <w:tcPr>
            <w:tcW w:w="709" w:type="pct"/>
          </w:tcPr>
          <w:p w:rsidR="006D75AD" w:rsidRPr="00825D74" w:rsidRDefault="006D75AD" w:rsidP="00C70A4F">
            <w:pPr>
              <w:spacing w:line="244" w:lineRule="auto"/>
              <w:jc w:val="both"/>
              <w:rPr>
                <w:sz w:val="20"/>
                <w:szCs w:val="20"/>
              </w:rPr>
            </w:pPr>
          </w:p>
        </w:tc>
      </w:tr>
    </w:tbl>
    <w:p w:rsidR="001477A6" w:rsidRPr="00825D74" w:rsidRDefault="001477A6" w:rsidP="00352923">
      <w:pPr>
        <w:spacing w:line="244" w:lineRule="auto"/>
        <w:jc w:val="center"/>
        <w:rPr>
          <w:b/>
          <w:bCs/>
          <w:sz w:val="20"/>
          <w:szCs w:val="20"/>
        </w:rPr>
      </w:pPr>
    </w:p>
    <w:p w:rsidR="001477A6" w:rsidRPr="00825D74" w:rsidRDefault="001477A6" w:rsidP="00352923">
      <w:pPr>
        <w:spacing w:line="244" w:lineRule="auto"/>
        <w:jc w:val="center"/>
        <w:rPr>
          <w:b/>
          <w:bCs/>
          <w:sz w:val="20"/>
          <w:szCs w:val="20"/>
        </w:rPr>
      </w:pPr>
    </w:p>
    <w:p w:rsidR="00352923" w:rsidRPr="00825D74" w:rsidRDefault="00352923" w:rsidP="00352923">
      <w:pPr>
        <w:spacing w:line="244" w:lineRule="auto"/>
        <w:jc w:val="center"/>
        <w:rPr>
          <w:b/>
          <w:bCs/>
          <w:sz w:val="20"/>
          <w:szCs w:val="20"/>
        </w:rPr>
      </w:pPr>
      <w:r w:rsidRPr="00825D74">
        <w:rPr>
          <w:b/>
          <w:bCs/>
          <w:sz w:val="20"/>
          <w:szCs w:val="20"/>
        </w:rPr>
        <w:t xml:space="preserve"> </w:t>
      </w:r>
    </w:p>
    <w:p w:rsidR="00352923" w:rsidRPr="00825D74" w:rsidRDefault="00352923">
      <w:pPr>
        <w:rPr>
          <w:sz w:val="20"/>
          <w:szCs w:val="20"/>
        </w:rPr>
      </w:pPr>
    </w:p>
    <w:sectPr w:rsidR="00352923" w:rsidRPr="00825D74" w:rsidSect="00352923">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16" w:rsidRDefault="00AA2D16" w:rsidP="00C55655">
      <w:r>
        <w:separator/>
      </w:r>
    </w:p>
  </w:endnote>
  <w:endnote w:type="continuationSeparator" w:id="0">
    <w:p w:rsidR="00AA2D16" w:rsidRDefault="00AA2D16" w:rsidP="00C5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577743"/>
      <w:docPartObj>
        <w:docPartGallery w:val="Page Numbers (Bottom of Page)"/>
        <w:docPartUnique/>
      </w:docPartObj>
    </w:sdtPr>
    <w:sdtEndPr/>
    <w:sdtContent>
      <w:sdt>
        <w:sdtPr>
          <w:id w:val="860082579"/>
          <w:docPartObj>
            <w:docPartGallery w:val="Page Numbers (Top of Page)"/>
            <w:docPartUnique/>
          </w:docPartObj>
        </w:sdtPr>
        <w:sdtEndPr/>
        <w:sdtContent>
          <w:p w:rsidR="00C55655" w:rsidRDefault="00C55655">
            <w:pPr>
              <w:pStyle w:val="Rodap"/>
              <w:jc w:val="right"/>
            </w:pPr>
            <w:r>
              <w:t xml:space="preserve">Página </w:t>
            </w:r>
            <w:r>
              <w:rPr>
                <w:b/>
                <w:bCs/>
                <w:szCs w:val="24"/>
              </w:rPr>
              <w:fldChar w:fldCharType="begin"/>
            </w:r>
            <w:r>
              <w:rPr>
                <w:b/>
                <w:bCs/>
              </w:rPr>
              <w:instrText>PAGE</w:instrText>
            </w:r>
            <w:r>
              <w:rPr>
                <w:b/>
                <w:bCs/>
                <w:szCs w:val="24"/>
              </w:rPr>
              <w:fldChar w:fldCharType="separate"/>
            </w:r>
            <w:r w:rsidR="004837D0">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837D0">
              <w:rPr>
                <w:b/>
                <w:bCs/>
                <w:noProof/>
              </w:rPr>
              <w:t>6</w:t>
            </w:r>
            <w:r>
              <w:rPr>
                <w:b/>
                <w:bCs/>
                <w:szCs w:val="24"/>
              </w:rPr>
              <w:fldChar w:fldCharType="end"/>
            </w:r>
          </w:p>
        </w:sdtContent>
      </w:sdt>
    </w:sdtContent>
  </w:sdt>
  <w:p w:rsidR="00C55655" w:rsidRDefault="00C556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16" w:rsidRDefault="00AA2D16" w:rsidP="00C55655">
      <w:r>
        <w:separator/>
      </w:r>
    </w:p>
  </w:footnote>
  <w:footnote w:type="continuationSeparator" w:id="0">
    <w:p w:rsidR="00AA2D16" w:rsidRDefault="00AA2D16" w:rsidP="00C5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54"/>
    <w:rsid w:val="00130021"/>
    <w:rsid w:val="001477A6"/>
    <w:rsid w:val="001E5B2F"/>
    <w:rsid w:val="00352923"/>
    <w:rsid w:val="004837D0"/>
    <w:rsid w:val="00690E50"/>
    <w:rsid w:val="006D75AD"/>
    <w:rsid w:val="007C223A"/>
    <w:rsid w:val="00825D74"/>
    <w:rsid w:val="008C542B"/>
    <w:rsid w:val="009E5354"/>
    <w:rsid w:val="00AA2D16"/>
    <w:rsid w:val="00C55655"/>
    <w:rsid w:val="00DE2B89"/>
    <w:rsid w:val="00E253AE"/>
    <w:rsid w:val="00F51412"/>
    <w:rsid w:val="00FB2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4"/>
    <w:pPr>
      <w:spacing w:after="0" w:line="240" w:lineRule="auto"/>
    </w:pPr>
    <w:rPr>
      <w:rFonts w:ascii="Times New Roman" w:eastAsia="Times New Roman"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352923"/>
    <w:pPr>
      <w:spacing w:after="120" w:line="480" w:lineRule="auto"/>
    </w:pPr>
    <w:rPr>
      <w:rFonts w:ascii="Verdana" w:hAnsi="Verdana"/>
      <w:sz w:val="20"/>
      <w:szCs w:val="24"/>
      <w:lang w:eastAsia="pt-BR"/>
    </w:rPr>
  </w:style>
  <w:style w:type="character" w:customStyle="1" w:styleId="Corpodetexto2Char">
    <w:name w:val="Corpo de texto 2 Char"/>
    <w:basedOn w:val="Fontepargpadro"/>
    <w:link w:val="Corpodetexto2"/>
    <w:rsid w:val="00352923"/>
    <w:rPr>
      <w:rFonts w:ascii="Verdana" w:eastAsia="Times New Roman" w:hAnsi="Verdana" w:cs="Times New Roman"/>
      <w:sz w:val="20"/>
      <w:szCs w:val="24"/>
      <w:lang w:eastAsia="pt-BR"/>
    </w:rPr>
  </w:style>
  <w:style w:type="paragraph" w:styleId="Cabealho">
    <w:name w:val="header"/>
    <w:basedOn w:val="Normal"/>
    <w:link w:val="CabealhoChar"/>
    <w:uiPriority w:val="99"/>
    <w:unhideWhenUsed/>
    <w:rsid w:val="00C55655"/>
    <w:pPr>
      <w:tabs>
        <w:tab w:val="center" w:pos="4252"/>
        <w:tab w:val="right" w:pos="8504"/>
      </w:tabs>
    </w:pPr>
  </w:style>
  <w:style w:type="character" w:customStyle="1" w:styleId="CabealhoChar">
    <w:name w:val="Cabeçalho Char"/>
    <w:basedOn w:val="Fontepargpadro"/>
    <w:link w:val="Cabealho"/>
    <w:uiPriority w:val="99"/>
    <w:rsid w:val="00C55655"/>
    <w:rPr>
      <w:rFonts w:ascii="Times New Roman" w:eastAsia="Times New Roman" w:hAnsi="Times New Roman" w:cs="Times New Roman"/>
      <w:sz w:val="24"/>
    </w:rPr>
  </w:style>
  <w:style w:type="paragraph" w:styleId="Rodap">
    <w:name w:val="footer"/>
    <w:basedOn w:val="Normal"/>
    <w:link w:val="RodapChar"/>
    <w:uiPriority w:val="99"/>
    <w:unhideWhenUsed/>
    <w:rsid w:val="00C55655"/>
    <w:pPr>
      <w:tabs>
        <w:tab w:val="center" w:pos="4252"/>
        <w:tab w:val="right" w:pos="8504"/>
      </w:tabs>
    </w:pPr>
  </w:style>
  <w:style w:type="character" w:customStyle="1" w:styleId="RodapChar">
    <w:name w:val="Rodapé Char"/>
    <w:basedOn w:val="Fontepargpadro"/>
    <w:link w:val="Rodap"/>
    <w:uiPriority w:val="99"/>
    <w:rsid w:val="00C55655"/>
    <w:rPr>
      <w:rFonts w:ascii="Times New Roman" w:eastAsia="Times New Roman" w:hAnsi="Times New Roman" w:cs="Times New Roman"/>
      <w:sz w:val="24"/>
    </w:rPr>
  </w:style>
  <w:style w:type="paragraph" w:styleId="Textodebalo">
    <w:name w:val="Balloon Text"/>
    <w:basedOn w:val="Normal"/>
    <w:link w:val="TextodebaloChar"/>
    <w:uiPriority w:val="99"/>
    <w:semiHidden/>
    <w:unhideWhenUsed/>
    <w:rsid w:val="00825D74"/>
    <w:rPr>
      <w:rFonts w:ascii="Tahoma" w:hAnsi="Tahoma" w:cs="Tahoma"/>
      <w:sz w:val="16"/>
      <w:szCs w:val="16"/>
    </w:rPr>
  </w:style>
  <w:style w:type="character" w:customStyle="1" w:styleId="TextodebaloChar">
    <w:name w:val="Texto de balão Char"/>
    <w:basedOn w:val="Fontepargpadro"/>
    <w:link w:val="Textodebalo"/>
    <w:uiPriority w:val="99"/>
    <w:semiHidden/>
    <w:rsid w:val="00825D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4"/>
    <w:pPr>
      <w:spacing w:after="0" w:line="240" w:lineRule="auto"/>
    </w:pPr>
    <w:rPr>
      <w:rFonts w:ascii="Times New Roman" w:eastAsia="Times New Roman"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352923"/>
    <w:pPr>
      <w:spacing w:after="120" w:line="480" w:lineRule="auto"/>
    </w:pPr>
    <w:rPr>
      <w:rFonts w:ascii="Verdana" w:hAnsi="Verdana"/>
      <w:sz w:val="20"/>
      <w:szCs w:val="24"/>
      <w:lang w:eastAsia="pt-BR"/>
    </w:rPr>
  </w:style>
  <w:style w:type="character" w:customStyle="1" w:styleId="Corpodetexto2Char">
    <w:name w:val="Corpo de texto 2 Char"/>
    <w:basedOn w:val="Fontepargpadro"/>
    <w:link w:val="Corpodetexto2"/>
    <w:rsid w:val="00352923"/>
    <w:rPr>
      <w:rFonts w:ascii="Verdana" w:eastAsia="Times New Roman" w:hAnsi="Verdana" w:cs="Times New Roman"/>
      <w:sz w:val="20"/>
      <w:szCs w:val="24"/>
      <w:lang w:eastAsia="pt-BR"/>
    </w:rPr>
  </w:style>
  <w:style w:type="paragraph" w:styleId="Cabealho">
    <w:name w:val="header"/>
    <w:basedOn w:val="Normal"/>
    <w:link w:val="CabealhoChar"/>
    <w:uiPriority w:val="99"/>
    <w:unhideWhenUsed/>
    <w:rsid w:val="00C55655"/>
    <w:pPr>
      <w:tabs>
        <w:tab w:val="center" w:pos="4252"/>
        <w:tab w:val="right" w:pos="8504"/>
      </w:tabs>
    </w:pPr>
  </w:style>
  <w:style w:type="character" w:customStyle="1" w:styleId="CabealhoChar">
    <w:name w:val="Cabeçalho Char"/>
    <w:basedOn w:val="Fontepargpadro"/>
    <w:link w:val="Cabealho"/>
    <w:uiPriority w:val="99"/>
    <w:rsid w:val="00C55655"/>
    <w:rPr>
      <w:rFonts w:ascii="Times New Roman" w:eastAsia="Times New Roman" w:hAnsi="Times New Roman" w:cs="Times New Roman"/>
      <w:sz w:val="24"/>
    </w:rPr>
  </w:style>
  <w:style w:type="paragraph" w:styleId="Rodap">
    <w:name w:val="footer"/>
    <w:basedOn w:val="Normal"/>
    <w:link w:val="RodapChar"/>
    <w:uiPriority w:val="99"/>
    <w:unhideWhenUsed/>
    <w:rsid w:val="00C55655"/>
    <w:pPr>
      <w:tabs>
        <w:tab w:val="center" w:pos="4252"/>
        <w:tab w:val="right" w:pos="8504"/>
      </w:tabs>
    </w:pPr>
  </w:style>
  <w:style w:type="character" w:customStyle="1" w:styleId="RodapChar">
    <w:name w:val="Rodapé Char"/>
    <w:basedOn w:val="Fontepargpadro"/>
    <w:link w:val="Rodap"/>
    <w:uiPriority w:val="99"/>
    <w:rsid w:val="00C55655"/>
    <w:rPr>
      <w:rFonts w:ascii="Times New Roman" w:eastAsia="Times New Roman" w:hAnsi="Times New Roman" w:cs="Times New Roman"/>
      <w:sz w:val="24"/>
    </w:rPr>
  </w:style>
  <w:style w:type="paragraph" w:styleId="Textodebalo">
    <w:name w:val="Balloon Text"/>
    <w:basedOn w:val="Normal"/>
    <w:link w:val="TextodebaloChar"/>
    <w:uiPriority w:val="99"/>
    <w:semiHidden/>
    <w:unhideWhenUsed/>
    <w:rsid w:val="00825D74"/>
    <w:rPr>
      <w:rFonts w:ascii="Tahoma" w:hAnsi="Tahoma" w:cs="Tahoma"/>
      <w:sz w:val="16"/>
      <w:szCs w:val="16"/>
    </w:rPr>
  </w:style>
  <w:style w:type="character" w:customStyle="1" w:styleId="TextodebaloChar">
    <w:name w:val="Texto de balão Char"/>
    <w:basedOn w:val="Fontepargpadro"/>
    <w:link w:val="Textodebalo"/>
    <w:uiPriority w:val="99"/>
    <w:semiHidden/>
    <w:rsid w:val="00825D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B7CA-9960-4EEA-A798-1DBC9B4E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13541</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ANALICE</dc:creator>
  <cp:lastModifiedBy>ANALICE</cp:lastModifiedBy>
  <cp:revision>3</cp:revision>
  <cp:lastPrinted>2012-11-26T18:55:00Z</cp:lastPrinted>
  <dcterms:created xsi:type="dcterms:W3CDTF">2014-01-07T16:24:00Z</dcterms:created>
  <dcterms:modified xsi:type="dcterms:W3CDTF">2014-01-07T16:25:00Z</dcterms:modified>
</cp:coreProperties>
</file>