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>
      <w:r>
        <w:t>A DN faz referência ai ítem 2.4 no entanto o mesmo não consta do anexo.</w:t>
      </w:r>
    </w:p>
    <w:p w:rsidR="00597161" w:rsidRDefault="00597161" w:rsidP="00597161"/>
    <w:p w:rsidR="00917B0A" w:rsidRPr="00AC13F8" w:rsidRDefault="00917B0A" w:rsidP="00917B0A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917B0A" w:rsidRPr="00AC13F8" w:rsidRDefault="00917B0A" w:rsidP="00917B0A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lastRenderedPageBreak/>
        <w:t>CONTEÚDO DO RELATÓRIO DE GESTÃO</w:t>
      </w:r>
    </w:p>
    <w:p w:rsidR="00917B0A" w:rsidRPr="00AC13F8" w:rsidRDefault="00917B0A" w:rsidP="00917B0A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Os conteúdos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088"/>
        <w:gridCol w:w="1984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088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3A2B87" w:rsidRPr="00AC13F8" w:rsidRDefault="003A2B87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7088" w:type="dxa"/>
            <w:shd w:val="clear" w:color="auto" w:fill="D9D9D9"/>
          </w:tcPr>
          <w:p w:rsid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84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A2B87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3A2B87" w:rsidRPr="00AC13F8" w:rsidRDefault="003A2B87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7088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984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Identificação da unidade jurisdicionada, contendo: Poder e órgão de vinculação ou supervisão; nome completo; denominação abreviada; código SIORG; unidades orçamentárias abrangidas; situação operacional; natureza jurídica; principal atividade econômica; telefones de contato, endereço postal; endereço eletrônico; página na </w:t>
            </w:r>
            <w:r w:rsidRPr="00AC13F8">
              <w:rPr>
                <w:i/>
                <w:lang w:eastAsia="pt-BR"/>
              </w:rPr>
              <w:t>I</w:t>
            </w:r>
            <w:r w:rsidRPr="00AC13F8">
              <w:rPr>
                <w:i/>
                <w:iCs/>
                <w:lang w:eastAsia="pt-BR"/>
              </w:rPr>
              <w:t>nternet</w:t>
            </w:r>
            <w:r w:rsidRPr="00AC13F8">
              <w:rPr>
                <w:lang w:eastAsia="pt-BR"/>
              </w:rPr>
              <w:t>; normas de criação; normas relacionadas à gestão e estrutura; manuais e publicações relacionadas às atividades da unidade; códigos e nomes das unidades gestoras e gestões no Sistema SIAFI.</w:t>
            </w:r>
          </w:p>
        </w:tc>
        <w:tc>
          <w:tcPr>
            <w:tcW w:w="7088" w:type="dxa"/>
          </w:tcPr>
          <w:p w:rsidR="003A2B87" w:rsidRPr="00123C5B" w:rsidRDefault="003A2B87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0" w:history="1">
              <w:r w:rsidRPr="0057328D">
                <w:rPr>
                  <w:lang w:eastAsia="pt-BR"/>
                </w:rPr>
                <w:t>Quadro A.1.1.1 - Identificação da UJ – Relatório de Gestão Individual</w:t>
              </w:r>
            </w:hyperlink>
          </w:p>
          <w:p w:rsidR="003A2B87" w:rsidRDefault="003A2B87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Finalidade e competências institucionais da unidade jurisdicionada definidas na Constituição Federal, em leis infraconstitucionais e em normas regimentais, identificando cada instância normativa.</w:t>
            </w:r>
          </w:p>
        </w:tc>
        <w:tc>
          <w:tcPr>
            <w:tcW w:w="7088" w:type="dxa"/>
          </w:tcPr>
          <w:p w:rsidR="003A2B87" w:rsidRPr="0057328D" w:rsidRDefault="003A2B87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1" w:history="1">
              <w:r w:rsidRPr="0057328D">
                <w:rPr>
                  <w:lang w:eastAsia="pt-BR"/>
                </w:rPr>
                <w:t>Quadro A.1.1.2 - Identificação da UJ – Relatório de Gestão Consolidado</w:t>
              </w:r>
            </w:hyperlink>
          </w:p>
          <w:p w:rsidR="003A2B87" w:rsidRDefault="003A2B87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Organograma funcional com descrição sucinta das competências e das atribuições das áreas ou subunidades estratégicas da unidade jurisdicionada.</w:t>
            </w:r>
          </w:p>
        </w:tc>
        <w:tc>
          <w:tcPr>
            <w:tcW w:w="7088" w:type="dxa"/>
          </w:tcPr>
          <w:p w:rsidR="003A2B87" w:rsidRPr="0057328D" w:rsidRDefault="003A2B87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2" w:history="1">
              <w:r w:rsidRPr="0057328D">
                <w:rPr>
                  <w:lang w:eastAsia="pt-BR"/>
                </w:rPr>
                <w:t>Quadro A.1.1.3 - Identificação – Relatório de Gestão Agregado</w:t>
              </w:r>
            </w:hyperlink>
          </w:p>
          <w:p w:rsidR="003A2B87" w:rsidRDefault="003A2B87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Macroprocessos finalísticos da unidade jurisdicionada, com a indicação dos principais produtos e serviços que tais processos devem oferecer aos cidadãos-usuários ou clientes. </w:t>
            </w:r>
          </w:p>
        </w:tc>
        <w:tc>
          <w:tcPr>
            <w:tcW w:w="7088" w:type="dxa"/>
          </w:tcPr>
          <w:p w:rsidR="003A2B87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3" w:history="1">
              <w:r w:rsidRPr="0057328D">
                <w:rPr>
                  <w:lang w:eastAsia="pt-BR"/>
                </w:rPr>
                <w:t>Quadro A.1.1.4 - Identificação – Relatório de Gestão Consolidado e Agregado</w:t>
              </w:r>
            </w:hyperlink>
          </w:p>
        </w:tc>
        <w:tc>
          <w:tcPr>
            <w:tcW w:w="1984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PROEN, PROEX E PPGI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macroprocessos de apoio ao exercício das competências e finalidades da unidade jurisdicionada.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 E PRODIN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657242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7088" w:type="dxa"/>
          </w:tcPr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3A2B87" w:rsidRPr="00AC13F8" w:rsidRDefault="003A2B8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3A2B87" w:rsidRPr="00AC13F8" w:rsidTr="00657242">
        <w:trPr>
          <w:cantSplit/>
          <w:trHeight w:val="406"/>
          <w:tblHeader/>
        </w:trPr>
        <w:tc>
          <w:tcPr>
            <w:tcW w:w="993" w:type="dxa"/>
            <w:shd w:val="clear" w:color="auto" w:fill="D9D9D9"/>
            <w:textDirection w:val="btL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lastRenderedPageBreak/>
              <w:t>Item e Subitem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155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D9D9D9"/>
          </w:tcPr>
          <w:p w:rsidR="003A2B87" w:rsidRPr="00AC13F8" w:rsidRDefault="003A2B87" w:rsidP="003A2B87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3A2B87">
              <w:rPr>
                <w:b/>
                <w:lang w:eastAsia="pt-BR"/>
              </w:rPr>
              <w:t>DATA</w:t>
            </w:r>
          </w:p>
        </w:tc>
      </w:tr>
      <w:tr w:rsidR="00C62884" w:rsidRPr="00AC13F8" w:rsidTr="00657242">
        <w:trPr>
          <w:cantSplit/>
          <w:trHeight w:val="304"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PLANEJAMENTO E RESULTADOS ALCANÇADOS</w:t>
            </w:r>
          </w:p>
        </w:tc>
        <w:tc>
          <w:tcPr>
            <w:tcW w:w="7155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  <w:tc>
          <w:tcPr>
            <w:tcW w:w="3193" w:type="dxa"/>
            <w:gridSpan w:val="2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657242">
        <w:trPr>
          <w:cantSplit/>
          <w:trHeight w:val="858"/>
        </w:trPr>
        <w:tc>
          <w:tcPr>
            <w:tcW w:w="993" w:type="dxa"/>
            <w:vAlign w:val="center"/>
          </w:tcPr>
          <w:p w:rsidR="003A2B87" w:rsidRPr="00AC13F8" w:rsidRDefault="003A2B87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3A2B87" w:rsidRPr="00AC13F8" w:rsidRDefault="003A2B87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Planejamento da unidade contemplando:</w:t>
            </w:r>
          </w:p>
          <w:p w:rsidR="003A2B87" w:rsidRPr="00AC13F8" w:rsidRDefault="003A2B87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sintética dos planos estratégico, tático e operacional que orientam a atuação da unidade;</w:t>
            </w:r>
          </w:p>
          <w:p w:rsidR="003A2B87" w:rsidRPr="00AC13F8" w:rsidRDefault="003A2B87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da vinculação do plano da unidade com suas competências constitucionais, legais ou normativas e com o PPA;</w:t>
            </w:r>
          </w:p>
          <w:p w:rsidR="003A2B87" w:rsidRPr="00AC13F8" w:rsidRDefault="003A2B87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objetivos estratégicos da unidade para o exercício de 2013 e as estratégias adotadas para sua realização e para o tratamento dos riscos envolvidos.</w:t>
            </w:r>
          </w:p>
        </w:tc>
        <w:tc>
          <w:tcPr>
            <w:tcW w:w="7155" w:type="dxa"/>
          </w:tcPr>
          <w:p w:rsidR="00CD6DFB" w:rsidRPr="0057328D" w:rsidRDefault="00CD6DFB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4" w:history="1">
              <w:r w:rsidRPr="0057328D">
                <w:rPr>
                  <w:lang w:eastAsia="pt-BR"/>
                </w:rPr>
                <w:t>Quadro A.2.2.1 – Programa Temático</w:t>
              </w:r>
            </w:hyperlink>
          </w:p>
          <w:p w:rsidR="003A2B87" w:rsidRPr="00AC13F8" w:rsidRDefault="003A2B87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</w:p>
        </w:tc>
        <w:tc>
          <w:tcPr>
            <w:tcW w:w="1917" w:type="dxa"/>
          </w:tcPr>
          <w:p w:rsidR="003A2B87" w:rsidRPr="00AC13F8" w:rsidRDefault="003A2B87" w:rsidP="003A2B87">
            <w:pPr>
              <w:spacing w:before="60" w:after="200" w:line="276" w:lineRule="auto"/>
              <w:ind w:right="74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</w:t>
            </w:r>
          </w:p>
        </w:tc>
        <w:tc>
          <w:tcPr>
            <w:tcW w:w="1276" w:type="dxa"/>
          </w:tcPr>
          <w:p w:rsidR="003A2B87" w:rsidRPr="00AC13F8" w:rsidRDefault="003A2B87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</w:p>
        </w:tc>
      </w:tr>
      <w:tr w:rsidR="0057328D" w:rsidRPr="00AC13F8" w:rsidTr="00657242">
        <w:trPr>
          <w:cantSplit/>
          <w:trHeight w:val="1126"/>
        </w:trPr>
        <w:tc>
          <w:tcPr>
            <w:tcW w:w="993" w:type="dxa"/>
            <w:vAlign w:val="center"/>
          </w:tcPr>
          <w:p w:rsidR="0057328D" w:rsidRPr="00AC13F8" w:rsidRDefault="0057328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Programação orçamentária e financeira e resultados alcançados, especificando: </w:t>
            </w:r>
          </w:p>
          <w:p w:rsidR="0057328D" w:rsidRPr="00AC13F8" w:rsidRDefault="0057328D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dos objetivos do Plano Plurianual que estiveram em 2013 na responsabilidade da unidade jurisdicionada ou de unidade consolidada no relatório de gestão, detalhando informações sobre:</w:t>
            </w:r>
          </w:p>
          <w:p w:rsidR="0057328D" w:rsidRPr="00AC13F8" w:rsidRDefault="0057328D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 programa ao qual o objetivo está vinculado e os correspondentes dados  sobre  programação e  execução orçamentária e financeira;</w:t>
            </w:r>
          </w:p>
          <w:p w:rsidR="0057328D" w:rsidRPr="00AC13F8" w:rsidRDefault="0057328D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 em cada objetivo, comparando-os com as metas estabelecidas no PPA, demonstrando ainda os índices dos indicadores de desmepenho relacionados, os  impactos na política pública, função ou área para a qual o objetivo contribui e a representatividade dos resultados frente às demandas internas e externas;</w:t>
            </w:r>
          </w:p>
          <w:p w:rsidR="0057328D" w:rsidRPr="00AC13F8" w:rsidRDefault="0057328D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iniciativas vinculadas ao objetivo de responsabilidade da unidade.</w:t>
            </w:r>
          </w:p>
          <w:p w:rsidR="0057328D" w:rsidRPr="00AC13F8" w:rsidRDefault="0057328D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das Ações da Lei Orçamentária Anual do exercício que estiveram na responsabilidade da unidade jurisdicionada ou de unidade consolidada no relatório de gestão, especificando informações sobre:</w:t>
            </w:r>
          </w:p>
          <w:p w:rsidR="0057328D" w:rsidRPr="00AC13F8" w:rsidRDefault="0057328D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programação e a execução orçamentária e financeira;</w:t>
            </w:r>
          </w:p>
          <w:p w:rsidR="0057328D" w:rsidRPr="00AC13F8" w:rsidRDefault="0057328D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alcançados, tendo por parâmetro as metas físicas e financeiras estabelecidas na LOA, demonstrando ainda os índices dos indicadores utilizados para aferir o desempenho e a representatividade dos resultados da ação em relação ao seu contexto.</w:t>
            </w:r>
          </w:p>
          <w:p w:rsidR="0057328D" w:rsidRPr="00AC13F8" w:rsidRDefault="0057328D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Fatores intervenientes que concorreram para os resultados de objetivo e ou ação, detalhando, inclusive, os limites de empenho e de movimentação financeira e os parâmetros utilizados para distribuição interna de tais restrições entre as unidades orçamentárias, programas ou ações.</w:t>
            </w:r>
          </w:p>
        </w:tc>
        <w:tc>
          <w:tcPr>
            <w:tcW w:w="7155" w:type="dxa"/>
          </w:tcPr>
          <w:p w:rsidR="0057328D" w:rsidRPr="0057328D" w:rsidRDefault="0057328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5" w:history="1">
              <w:r w:rsidRPr="0057328D">
                <w:rPr>
                  <w:lang w:eastAsia="pt-BR"/>
                </w:rPr>
                <w:t>Quadro A.2.2.2 – Objetivo</w:t>
              </w:r>
            </w:hyperlink>
          </w:p>
          <w:p w:rsidR="0057328D" w:rsidRPr="00AC13F8" w:rsidRDefault="0057328D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7328D" w:rsidRPr="00AC13F8" w:rsidTr="00657242">
        <w:trPr>
          <w:cantSplit/>
          <w:trHeight w:val="564"/>
        </w:trPr>
        <w:tc>
          <w:tcPr>
            <w:tcW w:w="993" w:type="dxa"/>
            <w:vAlign w:val="center"/>
          </w:tcPr>
          <w:p w:rsidR="0057328D" w:rsidRPr="00AC13F8" w:rsidRDefault="0057328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Informações sobre outros resultados gerados pela gestão, contextualizando tais resultados em relação aos objetivos estratégicos da unidade. </w:t>
            </w:r>
          </w:p>
        </w:tc>
        <w:tc>
          <w:tcPr>
            <w:tcW w:w="7155" w:type="dxa"/>
          </w:tcPr>
          <w:p w:rsidR="0057328D" w:rsidRPr="0057328D" w:rsidRDefault="0057328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6" w:history="1">
              <w:r w:rsidRPr="0057328D">
                <w:rPr>
                  <w:lang w:eastAsia="pt-BR"/>
                </w:rPr>
                <w:t>Quadro A.2.2.3.1 – Ações – OFSS</w:t>
              </w:r>
            </w:hyperlink>
          </w:p>
          <w:p w:rsidR="0057328D" w:rsidRPr="0057328D" w:rsidRDefault="0057328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7" w:history="1">
              <w:r w:rsidRPr="0057328D">
                <w:rPr>
                  <w:lang w:eastAsia="pt-BR"/>
                </w:rPr>
                <w:t>Quadro A.2.2.3.2 – Ação/Subtítulos – OFSS</w:t>
              </w:r>
            </w:hyperlink>
          </w:p>
          <w:p w:rsidR="0057328D" w:rsidRPr="0057328D" w:rsidRDefault="0057328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8" w:history="1">
              <w:r w:rsidRPr="0057328D">
                <w:rPr>
                  <w:lang w:eastAsia="pt-BR"/>
                </w:rPr>
                <w:t>Quadro A.2.2.3.3 – Ações não Previstas LOA 2013 - Restos a Pagar - OFSS</w:t>
              </w:r>
            </w:hyperlink>
          </w:p>
          <w:p w:rsidR="0057328D" w:rsidRPr="00AC13F8" w:rsidRDefault="0057328D" w:rsidP="0057328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39" w:history="1">
              <w:r w:rsidRPr="0057328D">
                <w:rPr>
                  <w:lang w:eastAsia="pt-BR"/>
                </w:rPr>
                <w:t>Quadro A.2.2.3.4 – Ações do Orçamento de Investimento</w:t>
              </w:r>
            </w:hyperlink>
          </w:p>
        </w:tc>
        <w:tc>
          <w:tcPr>
            <w:tcW w:w="1917" w:type="dxa"/>
          </w:tcPr>
          <w:p w:rsidR="00485B78" w:rsidRDefault="00485B78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</w:p>
          <w:p w:rsidR="0057328D" w:rsidRPr="00AC13F8" w:rsidRDefault="0057328D" w:rsidP="0057328D">
            <w:pPr>
              <w:spacing w:before="45" w:after="45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</w:p>
        </w:tc>
      </w:tr>
      <w:tr w:rsidR="0057328D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57328D" w:rsidRPr="00AC13F8" w:rsidRDefault="00917B0A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br w:type="page"/>
            </w:r>
            <w:r w:rsidR="0057328D" w:rsidRPr="00AC13F8">
              <w:rPr>
                <w:b/>
                <w:lang w:eastAsia="pt-BR"/>
              </w:rPr>
              <w:t>ESTRUTURAS DE GOVERNANÇA E DE AUTOCONTROLE DA GESTÃO</w:t>
            </w:r>
          </w:p>
        </w:tc>
        <w:tc>
          <w:tcPr>
            <w:tcW w:w="7155" w:type="dxa"/>
            <w:shd w:val="clear" w:color="auto" w:fill="F2F2F2"/>
          </w:tcPr>
          <w:p w:rsidR="0057328D" w:rsidRPr="0057328D" w:rsidRDefault="0057328D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7328D"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orgânica de controle da unidade jurisdicionada ou do órgão a que se vincula, tais como unidade de auditoria ou de controle interno, comitê de auditoria, conselhos fiscais, comitês de avaliações, etc. descrevendo de maneira sucinta a base normativa, as atribuições e a forma de atuação de cada instância de controle. </w:t>
            </w:r>
          </w:p>
        </w:tc>
        <w:tc>
          <w:tcPr>
            <w:tcW w:w="7155" w:type="dxa"/>
          </w:tcPr>
          <w:p w:rsidR="00485B78" w:rsidRDefault="00485B78" w:rsidP="00485B78">
            <w:pPr>
              <w:pStyle w:val="ndicedeilustraes"/>
              <w:jc w:val="center"/>
            </w:pPr>
          </w:p>
          <w:p w:rsidR="00485B78" w:rsidRDefault="00485B78" w:rsidP="00485B78">
            <w:pPr>
              <w:pStyle w:val="ndicedeilustraes"/>
              <w:jc w:val="center"/>
            </w:pPr>
          </w:p>
          <w:p w:rsidR="00485B78" w:rsidRDefault="00485B78" w:rsidP="00485B78">
            <w:pPr>
              <w:pStyle w:val="ndicedeilustraes"/>
              <w:jc w:val="center"/>
            </w:pPr>
          </w:p>
          <w:p w:rsidR="00485B78" w:rsidRDefault="00485B78" w:rsidP="00485B78">
            <w:pPr>
              <w:pStyle w:val="ndicedeilustraes"/>
              <w:jc w:val="center"/>
            </w:pPr>
          </w:p>
          <w:p w:rsidR="00485B78" w:rsidRDefault="00485B78" w:rsidP="00485B78">
            <w:pPr>
              <w:pStyle w:val="ndicedeilustraes"/>
              <w:jc w:val="center"/>
            </w:pPr>
          </w:p>
          <w:p w:rsidR="0057328D" w:rsidRPr="00AC13F8" w:rsidRDefault="00485B78" w:rsidP="00485B78">
            <w:pPr>
              <w:pStyle w:val="ndicedeilustraes"/>
              <w:jc w:val="center"/>
            </w:pPr>
            <w:r>
              <w:t>***</w:t>
            </w:r>
          </w:p>
        </w:tc>
        <w:tc>
          <w:tcPr>
            <w:tcW w:w="1917" w:type="dxa"/>
          </w:tcPr>
          <w:p w:rsidR="00485B78" w:rsidRDefault="00485B78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Default="00485B78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Default="00485B78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AUDITORIA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7155" w:type="dxa"/>
          </w:tcPr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7328D">
              <w:rPr>
                <w:lang w:eastAsia="pt-BR"/>
              </w:rPr>
              <w:t>Quadro A.3.2 – Avaliação do Sistema de Controles Internos da UJ</w:t>
            </w: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e atividades do sistema de correição da unidade ou do órgão de vinculação da unidade, identificando, inclusive, a base normativa que rege a atividade no âmbito da unidade ou do órgão. </w:t>
            </w:r>
          </w:p>
        </w:tc>
        <w:tc>
          <w:tcPr>
            <w:tcW w:w="7155" w:type="dxa"/>
          </w:tcPr>
          <w:p w:rsidR="00B16233" w:rsidRPr="00B16233" w:rsidRDefault="00B16233" w:rsidP="00B1623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1" w:history="1">
              <w:r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Quadro </w:t>
              </w:r>
              <w:r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  </w:t>
              </w:r>
              <w:r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A.3.3.2 - Remuneração dos Conselhos de Administração e Fiscal</w:t>
              </w:r>
            </w:hyperlink>
          </w:p>
          <w:p w:rsidR="00B16233" w:rsidRPr="00B16233" w:rsidRDefault="00B16233" w:rsidP="00B1623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2" w:history="1">
              <w:r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Quadro </w:t>
              </w:r>
              <w:r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  </w:t>
              </w:r>
              <w:r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A.3.3.3 – Síntese da Remuneração dos Administradores</w:t>
              </w:r>
            </w:hyperlink>
          </w:p>
          <w:p w:rsidR="00B16233" w:rsidRPr="00B16233" w:rsidRDefault="00B16233" w:rsidP="00B1623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3" w:history="1">
              <w:r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Quadro </w:t>
              </w:r>
              <w:r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A.3.3.4 – Detalhamento de Itens da Remuneração Variável dos Administradores</w:t>
              </w:r>
            </w:hyperlink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17" w:type="dxa"/>
          </w:tcPr>
          <w:p w:rsidR="00745639" w:rsidRDefault="00745639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57328D" w:rsidRPr="00AC13F8" w:rsidRDefault="0057328D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cumprimento, pela instância de correição da unidade, das disposições dos arts. 4º e 5º da Portaria nº 1.043, de 24 de julho de 2007, da Controladoria-Geral da União – CGU, no que tange aos fatos originados em unidade jurisdicionada cuja gestão esteja contemplada no relatório de gestão.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745639" w:rsidRDefault="00745639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745639" w:rsidRDefault="00745639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127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7371"/>
        <w:gridCol w:w="1984"/>
        <w:gridCol w:w="1276"/>
      </w:tblGrid>
      <w:tr w:rsidR="00093F21" w:rsidRPr="00AC13F8" w:rsidTr="005316AD">
        <w:trPr>
          <w:cantSplit/>
          <w:trHeight w:val="391"/>
        </w:trPr>
        <w:tc>
          <w:tcPr>
            <w:tcW w:w="5246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TÓPICOS ESPECIAIS DA EXECUÇÃO ORÇAMENTÁRIA E FINANCEIRA</w:t>
            </w:r>
          </w:p>
        </w:tc>
        <w:tc>
          <w:tcPr>
            <w:tcW w:w="7371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984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316AD" w:rsidRPr="00AC13F8" w:rsidTr="00110CDC">
        <w:trPr>
          <w:cantSplit/>
          <w:trHeight w:hRule="exact" w:val="4252"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  <w:vAlign w:val="center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Execução das despesas.</w:t>
            </w:r>
          </w:p>
        </w:tc>
        <w:tc>
          <w:tcPr>
            <w:tcW w:w="7371" w:type="dxa"/>
          </w:tcPr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316AD">
              <w:rPr>
                <w:lang w:eastAsia="pt-BR"/>
              </w:rPr>
              <w:t>Quadro A.4.1.1 – Programação de Despesas</w:t>
            </w:r>
          </w:p>
          <w:p w:rsidR="005316AD" w:rsidRPr="005316AD" w:rsidRDefault="005316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5" w:history="1">
              <w:r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A.4.1.2.1 – Movimentação Orçamentária Interna por Grupo de Despesa</w:t>
              </w:r>
            </w:hyperlink>
          </w:p>
          <w:p w:rsidR="005316AD" w:rsidRPr="005316AD" w:rsidRDefault="005316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6" w:history="1">
              <w:r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A.4.1.2.2 – Movimentação Orçamentária EXterna por Grupo de Despesa</w:t>
              </w:r>
            </w:hyperlink>
          </w:p>
          <w:p w:rsidR="005316AD" w:rsidRPr="005316AD" w:rsidRDefault="005316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7" w:history="1">
              <w:r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A.4.1.3.1.– Despesas por Modalidade de Contratação – Créditos Originários - Total</w:t>
              </w:r>
            </w:hyperlink>
          </w:p>
          <w:p w:rsidR="005316AD" w:rsidRPr="005316AD" w:rsidRDefault="005316AD" w:rsidP="005316AD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8" w:history="1">
              <w:r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A.4.1.3.2 – Despesas por Modalidade de Contratação – Créditos Originários – Valores Executados diretamente pela UJ</w:t>
              </w:r>
            </w:hyperlink>
          </w:p>
          <w:p w:rsidR="005316AD" w:rsidRDefault="005316AD" w:rsidP="005316AD">
            <w:pPr>
              <w:pStyle w:val="ndicedeilustraes"/>
              <w:rPr>
                <w:rFonts w:ascii="Calibri" w:eastAsia="Times New Roman" w:hAnsi="Calibri"/>
                <w:sz w:val="22"/>
                <w:szCs w:val="22"/>
              </w:rPr>
            </w:pPr>
            <w:hyperlink w:anchor="_Toc360441049" w:history="1">
              <w:r w:rsidRPr="005316AD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A.4.1.3.3 – Despesas por Grupo e Elemento de Despesa – Créditos Originários - Total</w:t>
              </w:r>
            </w:hyperlink>
          </w:p>
          <w:p w:rsidR="00110CDC" w:rsidRPr="00110CDC" w:rsidRDefault="00110CDC" w:rsidP="00110CDC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0" w:history="1">
              <w:r w:rsidRPr="00110CDC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A.4.1.3.4 – Despesas por Grupo e Elemento de Despesa – Créditos Originários – Valores Executados Diretamente pela UJ</w:t>
              </w:r>
            </w:hyperlink>
          </w:p>
          <w:p w:rsidR="00110CDC" w:rsidRPr="00110CDC" w:rsidRDefault="00110CDC" w:rsidP="00110CDC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1" w:history="1">
              <w:r w:rsidRPr="00110CDC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A.4.1.3.5 – Despesas por Modalidade de Contratação– Créditos de Movimentação</w:t>
              </w:r>
            </w:hyperlink>
          </w:p>
          <w:p w:rsidR="00110CDC" w:rsidRDefault="00110CDC" w:rsidP="00110CDC">
            <w:pPr>
              <w:pStyle w:val="ndicedeilustraes"/>
              <w:rPr>
                <w:rFonts w:ascii="Calibri" w:eastAsia="Times New Roman" w:hAnsi="Calibri"/>
                <w:sz w:val="22"/>
                <w:szCs w:val="22"/>
              </w:rPr>
            </w:pPr>
            <w:hyperlink w:anchor="_Toc360441052" w:history="1">
              <w:r w:rsidRPr="00110CDC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A.4.1.3.6 – Despesas por Grupo e Elemento de Despesa – Créditos de Movimentação</w:t>
              </w:r>
            </w:hyperlink>
          </w:p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E081E" w:rsidRDefault="000E081E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316AD" w:rsidRPr="00AC13F8" w:rsidTr="005D2A39">
        <w:trPr>
          <w:cantSplit/>
          <w:trHeight w:hRule="exact" w:val="711"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  <w:vAlign w:val="bottom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Reconhecimento de passivos por insuficiência de créditos ou recursos.</w:t>
            </w:r>
          </w:p>
        </w:tc>
        <w:tc>
          <w:tcPr>
            <w:tcW w:w="7371" w:type="dxa"/>
          </w:tcPr>
          <w:p w:rsidR="00355F19" w:rsidRPr="00355F19" w:rsidRDefault="00355F19" w:rsidP="00355F19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3" w:history="1">
              <w:r w:rsidRPr="00355F1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A.4.2. - Reconhecimento de Passivos por Insuficiência de Créditos ou Recursos</w:t>
              </w:r>
            </w:hyperlink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316AD" w:rsidRPr="00AC13F8" w:rsidTr="005316AD">
        <w:trPr>
          <w:cantSplit/>
          <w:trHeight w:val="323"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Movimentação e saldos de restos a pagar de exercícios anteriores.</w:t>
            </w:r>
          </w:p>
        </w:tc>
        <w:tc>
          <w:tcPr>
            <w:tcW w:w="7371" w:type="dxa"/>
          </w:tcPr>
          <w:p w:rsidR="005316AD" w:rsidRPr="00AC13F8" w:rsidRDefault="004D5B6F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4D5B6F">
              <w:rPr>
                <w:lang w:eastAsia="pt-BR"/>
              </w:rPr>
              <w:t>Quadro A.4.3 – Restos a Pagar inscritos em Exercícios Anteriores</w:t>
            </w: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Transferências de recursos mediante convênio, contrato de repasse, termo de parceria, termo de cooperação, termo de compromisso ou outros acordos, ajustes ou instrumentos congêneres.</w:t>
            </w:r>
          </w:p>
        </w:tc>
        <w:tc>
          <w:tcPr>
            <w:tcW w:w="7371" w:type="dxa"/>
          </w:tcPr>
          <w:p w:rsidR="004D5B6F" w:rsidRPr="004D5B6F" w:rsidRDefault="004D5B6F" w:rsidP="004D5B6F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5" w:history="1">
              <w:r w:rsidRPr="004D5B6F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A.4.4.1 – Caracterização dos instrumentos de transferências vigentes no exercício de referência</w:t>
              </w:r>
            </w:hyperlink>
          </w:p>
          <w:p w:rsidR="004D5B6F" w:rsidRPr="004D5B6F" w:rsidRDefault="004D5B6F" w:rsidP="004D5B6F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6" w:history="1">
              <w:r w:rsidRPr="004D5B6F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A.4.4.2 – Resumo dos instrumentos celebrados pela UJ nos três últimos exercícios</w:t>
              </w:r>
            </w:hyperlink>
          </w:p>
          <w:p w:rsidR="001114DE" w:rsidRPr="001114DE" w:rsidRDefault="001114DE" w:rsidP="001114DE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7" w:history="1">
              <w:r w:rsidRPr="001114DE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A.4.4.3 – Resumo da prestação de contas sobre transferências concedidas pela UJ na modalidade de convênio, termo de cooperação e de contratos de repasse.</w:t>
              </w:r>
            </w:hyperlink>
            <w:r w:rsidRPr="001114D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1114DE" w:rsidRPr="001114DE" w:rsidRDefault="001114DE" w:rsidP="001114DE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8" w:history="1">
              <w:r w:rsidRPr="001114DE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A.4.4.4 – Visão Geral da análise das prestações de contas de Convênios e Contratos de Repasse.</w:t>
              </w:r>
            </w:hyperlink>
            <w:r w:rsidRPr="001114D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311D93" w:rsidRPr="00311D93" w:rsidRDefault="00311D93" w:rsidP="00311D9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r w:rsidRPr="00311D9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b/>
                <w:bCs/>
                <w:lang w:eastAsia="pt-BR"/>
              </w:rPr>
            </w:pPr>
            <w:r w:rsidRPr="00AC13F8">
              <w:rPr>
                <w:lang w:eastAsia="pt-BR"/>
              </w:rPr>
              <w:t xml:space="preserve">Suprimento de fundos, contas bancárias tipo </w:t>
            </w:r>
            <w:r w:rsidRPr="00AC13F8">
              <w:rPr>
                <w:b/>
                <w:lang w:eastAsia="pt-BR"/>
              </w:rPr>
              <w:t xml:space="preserve">B </w:t>
            </w:r>
            <w:r w:rsidRPr="00AC13F8">
              <w:rPr>
                <w:lang w:eastAsia="pt-BR"/>
              </w:rPr>
              <w:t>e cartões de pagamento do governo federal.</w:t>
            </w:r>
          </w:p>
        </w:tc>
        <w:tc>
          <w:tcPr>
            <w:tcW w:w="7371" w:type="dxa"/>
          </w:tcPr>
          <w:p w:rsidR="00090A66" w:rsidRPr="00311D93" w:rsidRDefault="00090A66" w:rsidP="00090A66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59" w:history="1">
              <w:r w:rsidRPr="00311D9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A.4.5.1 – Despesas Realizadas por meio da Conta Tipo “B” e por meio do Cartão de Crédito Corporativo (Série Histórica)</w:t>
              </w:r>
            </w:hyperlink>
            <w:r w:rsidRPr="00311D9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090A66" w:rsidRPr="00311D93" w:rsidRDefault="00090A66" w:rsidP="00090A66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60" w:history="1">
              <w:r w:rsidRPr="00311D9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A.4.5.2 – Despesas Realizadas por meio de Suprimento de Fundos por UG e por Suprido (Conta Tipo “B”)</w:t>
              </w:r>
            </w:hyperlink>
            <w:r w:rsidRPr="00311D9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 </w:t>
            </w:r>
          </w:p>
          <w:p w:rsidR="00090A66" w:rsidRPr="00311D93" w:rsidRDefault="00090A66" w:rsidP="00090A66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61" w:history="1">
              <w:r w:rsidRPr="00311D9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Quadro A.4.5.3 - Despesa Com Cartão de Crédito Corporativo por UG e por Portador</w:t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tab/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fldChar w:fldCharType="begin"/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instrText xml:space="preserve"> PAGEREF _Toc360441061 \h </w:instrText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fldChar w:fldCharType="separate"/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t>115</w:t>
              </w:r>
              <w:r w:rsidRPr="00311D93">
                <w:rPr>
                  <w:rFonts w:asciiTheme="minorHAnsi" w:eastAsiaTheme="minorHAnsi" w:hAnsiTheme="minorHAnsi" w:cstheme="minorBidi"/>
                  <w:noProof w:val="0"/>
                  <w:webHidden/>
                  <w:sz w:val="22"/>
                  <w:szCs w:val="22"/>
                </w:rPr>
                <w:fldChar w:fldCharType="end"/>
              </w:r>
            </w:hyperlink>
          </w:p>
          <w:p w:rsidR="005316AD" w:rsidRPr="00AC13F8" w:rsidRDefault="00090A66" w:rsidP="00090A66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hyperlink w:anchor="_Toc360441062" w:history="1">
              <w:r w:rsidRPr="00311D93">
                <w:t>Quadro A.4.5.4 - Prestações de Contas de Suprimento de Fundos (Conta Tipo “B” e CPGF)</w:t>
              </w:r>
            </w:hyperlink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DA6A98" w:rsidRDefault="00DA6A98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Renúncia de Receitas.</w:t>
            </w:r>
          </w:p>
        </w:tc>
        <w:tc>
          <w:tcPr>
            <w:tcW w:w="7371" w:type="dxa"/>
          </w:tcPr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3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A.4.6.1.1 – Benefícios Financeiros e Creditícios Geridos pela UJ ou Benefícios Financeiros e Creditícios Estimados e Quantificados pela UJ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4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– A.4.6.2.1 – Renúncias Tributárias sob Gestão da UJ – Renúncias Tributárias Estimadas e Quantificadas pela UJ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5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A.4.6.2.2.  - Valores Renunciados e Respectiva Contrapartida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6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A.4.6.2.3 - Valores Renunciados por Tributo e Gasto Tributário – 2013-2011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7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A.4.6.2.4.1 - Contribuintes Beneficiados pela Renúncia – Pessoas Físicas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8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A.4.6.2.4.2 - Contribuintes Beneficiados pela Renúncia – Pessoas Jurídicas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69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A.4.6.2.5.1 - Beneficiários da Contrapartida da Renúncia – Pessoas Físicas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0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A.4.6.2.5.2 - Beneficiários da Contrapartida da Renúncia – Pessoas Jurídicas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1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A.4.6.2.6 - Aplicação de Recursos da Renúncia de Receita pela própria UJ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2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A.4.6.2.7 - Prestações de Contas de Renúncia de Receitas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3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A.4.6.2.8 - Comunicações à RFB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4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A.4.6.2.9 - Indicadores de Gestão da Renúncia de Receitas</w:t>
              </w:r>
            </w:hyperlink>
          </w:p>
          <w:p w:rsidR="00EE6251" w:rsidRPr="00EE6251" w:rsidRDefault="00EE6251" w:rsidP="00EE625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5" w:history="1">
              <w:r w:rsidRPr="00EE625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A.4.6.2.11 - Ações da RFB</w:t>
              </w:r>
            </w:hyperlink>
          </w:p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84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5316AD" w:rsidRPr="00AC13F8" w:rsidTr="005316AD">
        <w:trPr>
          <w:cantSplit/>
        </w:trPr>
        <w:tc>
          <w:tcPr>
            <w:tcW w:w="993" w:type="dxa"/>
            <w:vAlign w:val="center"/>
          </w:tcPr>
          <w:p w:rsidR="005316AD" w:rsidRPr="00AC13F8" w:rsidRDefault="005316AD" w:rsidP="005316A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253" w:type="dxa"/>
          </w:tcPr>
          <w:p w:rsidR="005316AD" w:rsidRPr="00AC13F8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consta do rol da DN</w:t>
            </w:r>
          </w:p>
        </w:tc>
        <w:tc>
          <w:tcPr>
            <w:tcW w:w="7371" w:type="dxa"/>
          </w:tcPr>
          <w:p w:rsidR="005316AD" w:rsidRDefault="00F24271" w:rsidP="00F24271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84" w:type="dxa"/>
          </w:tcPr>
          <w:p w:rsidR="005316AD" w:rsidRDefault="005316AD" w:rsidP="005316A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5316AD" w:rsidRDefault="005316AD" w:rsidP="005316A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p w:rsidR="001B43AD" w:rsidRDefault="001B43AD"/>
    <w:p w:rsidR="001B43AD" w:rsidRDefault="001B43AD"/>
    <w:p w:rsidR="001B43AD" w:rsidRDefault="001B43AD"/>
    <w:p w:rsidR="001B43AD" w:rsidRDefault="001B43AD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596"/>
        <w:gridCol w:w="321"/>
        <w:gridCol w:w="1276"/>
      </w:tblGrid>
      <w:tr w:rsidR="00093F21" w:rsidRPr="00AC13F8" w:rsidTr="001B43AD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DE PESSOAS, TERCEIRIZAÇÃO DE MÃO DE OBRA E CUSTOS RELACIONADOS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917" w:type="dxa"/>
            <w:gridSpan w:val="2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1B43AD" w:rsidRPr="00AC13F8" w:rsidTr="001B43A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1B43AD" w:rsidRPr="00AC13F8" w:rsidRDefault="001B43AD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  <w:hideMark/>
          </w:tcPr>
          <w:p w:rsidR="001B43AD" w:rsidRPr="00AC13F8" w:rsidRDefault="001B43AD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de pessoal da unidade, contemplando as seguintes perspectivas: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 força de trabalho e dos afastamentos que refletem sobre ela;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Qualificação da força de trabalho de acordo com a estrutura de cargos, idade e nível de escolaridade;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Custos associados à manutenção dos recursos humanos;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Composição do quadro de servidores inativos e pensionistas;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cadastramento, no Sistema de Apreciação e Registro dos Atos de Admissão e Concessões (Sisac), das informações pertinentes aos atos de admissão e concessão de aposentadoria, reforma e pensão ocorridos no exercício, bem como da disponibilização das informações para o respectivo órgão de controle interno, nos termos da Instrução Normativa TCU nº 55/2007;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Ações adotadas para identificar eventual acumulação remunerada de cargos, funções e empregos públicos vedada pelo art. 37, incisos XVI e XVII, da Constituição Federal (nas redações dadas pelas Emendas Constitucionais nos 19/98 e 34/2001);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Providências adotadas nos casos identificados de acumulação remunerada de cargos, funções e empregos públicos, nos termos do art. 133 da Lei nº 8.112/93; </w:t>
            </w:r>
          </w:p>
          <w:p w:rsidR="001B43AD" w:rsidRPr="00AC13F8" w:rsidRDefault="001B43AD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72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Indicadores gerenciais sobre recursos humanos.</w:t>
            </w:r>
          </w:p>
        </w:tc>
        <w:tc>
          <w:tcPr>
            <w:tcW w:w="6304" w:type="dxa"/>
          </w:tcPr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8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A.5.1.1.1  – Força de Trabalho da UJ – Situação apurada em 31/12</w:t>
              </w:r>
            </w:hyperlink>
          </w:p>
          <w:p w:rsidR="00F24271" w:rsidRPr="00F24271" w:rsidRDefault="00F24271" w:rsidP="00F2427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79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A.5.1.1.2 – Situações que reduzem a força de trabalho da UJ</w:t>
              </w:r>
            </w:hyperlink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0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A.5.1.2.1</w:t>
              </w:r>
              <w:r w:rsidR="00835B6B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 xml:space="preserve"> - </w:t>
              </w:r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Detalhamento da estrutura de cargos em comissão e funções gratificadas da UJ (Situação em 31 de dezembro)</w:t>
              </w:r>
            </w:hyperlink>
            <w:r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1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A.5.1.2.2 – Quantidade de servidores da UJ por faixa etária</w:t>
              </w:r>
            </w:hyperlink>
            <w:r w:rsidR="003F01F2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hyperlink w:anchor="_Toc360441082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Situação apurada em 31/12</w:t>
              </w:r>
            </w:hyperlink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3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A.5.1.2.3 – Quantidade de servidores da UJ por nível de</w:t>
              </w:r>
              <w:r w:rsidR="003F01F2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 xml:space="preserve"> </w:t>
              </w:r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escolaridade  Situação apurada em 31/12</w:t>
              </w:r>
            </w:hyperlink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4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A.5.1.3 - Quadro de custos de pessoal no exercício de referência e nos dois anteriores</w:t>
              </w:r>
            </w:hyperlink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5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A.5.1.4.1 - Composição do Quadro de Servidores Inativos - Situação apurada em 31 de dezembro</w:t>
              </w:r>
            </w:hyperlink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6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A.5.1.4.2 - Instituidores de Pensão - Situação apurada em 31/12</w:t>
              </w:r>
            </w:hyperlink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7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A.5.1.5.1 – Atos Sujeitos ao Registro do TCU (Art. 3º da IN TCU 55/2007)</w:t>
              </w:r>
            </w:hyperlink>
            <w:r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F24271" w:rsidRPr="00F24271" w:rsidRDefault="00F24271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8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A.5.1.5.2 – Atos Sujeitos à Comunicação ao TCU (Art. 3º da IN TCU 55/2007)</w:t>
              </w:r>
            </w:hyperlink>
            <w:r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F24271" w:rsidRPr="00F24271" w:rsidRDefault="00F24271" w:rsidP="00F24271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89" w:history="1">
              <w:r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A.5.1.5.3 – Regularidade do cadastro dos atos no Sisac</w:t>
              </w:r>
            </w:hyperlink>
          </w:p>
          <w:p w:rsidR="00F24271" w:rsidRPr="00F24271" w:rsidRDefault="003F01F2" w:rsidP="003F01F2">
            <w:pPr>
              <w:pStyle w:val="ndicedeilustraes"/>
              <w:ind w:left="1773" w:hanging="1773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Quadro </w:t>
            </w:r>
            <w:hyperlink w:anchor="_Toc360441090" w:history="1">
              <w:r w:rsidR="00F24271" w:rsidRPr="00F24271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A.5.1.5.4 – Atos sujeitos à remessa física ao TCU (Art. 14 da IN TCU 55/2007)</w:t>
              </w:r>
            </w:hyperlink>
            <w:r w:rsidR="00F24271" w:rsidRPr="00F2427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  <w:p w:rsidR="001B43AD" w:rsidRPr="00AC13F8" w:rsidRDefault="001B43AD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</w:p>
        </w:tc>
        <w:tc>
          <w:tcPr>
            <w:tcW w:w="1917" w:type="dxa"/>
            <w:gridSpan w:val="2"/>
          </w:tcPr>
          <w:p w:rsidR="001B43AD" w:rsidRPr="00AC13F8" w:rsidRDefault="00F24271" w:rsidP="00F24271">
            <w:pPr>
              <w:spacing w:before="45" w:after="45" w:line="276" w:lineRule="auto"/>
              <w:ind w:left="29" w:right="34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1B43AD" w:rsidRPr="00AC13F8" w:rsidRDefault="001B43AD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</w:p>
        </w:tc>
      </w:tr>
      <w:tr w:rsidR="001B43AD" w:rsidRPr="00AC13F8" w:rsidTr="001B43AD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>Terceirização de mão de obra e contratação de estagiários.</w:t>
            </w:r>
          </w:p>
        </w:tc>
        <w:tc>
          <w:tcPr>
            <w:tcW w:w="6304" w:type="dxa"/>
          </w:tcPr>
          <w:p w:rsidR="005D1BE9" w:rsidRPr="005D1BE9" w:rsidRDefault="005D1BE9" w:rsidP="005D1BE9">
            <w:pPr>
              <w:pStyle w:val="ndicedeilustraes"/>
              <w:ind w:left="1914" w:hanging="1914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1" w:history="1">
              <w:r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A.5.2.1 – Cargos e atividades inerentes a categorias funcionais do plano de cargos da unidade jurisdicionada</w:t>
              </w:r>
            </w:hyperlink>
          </w:p>
          <w:p w:rsidR="005D1BE9" w:rsidRPr="005D1BE9" w:rsidRDefault="005D1BE9" w:rsidP="005D1BE9">
            <w:pPr>
              <w:pStyle w:val="ndicedeilustraes"/>
              <w:ind w:left="1631" w:hanging="1631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2" w:history="1">
              <w:r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A.5.2.2 – Autorizações para realização de concursos públicos ou provimento adicional para substituição de terceirizados</w:t>
              </w:r>
            </w:hyperlink>
          </w:p>
          <w:p w:rsidR="005D1BE9" w:rsidRPr="005D1BE9" w:rsidRDefault="005D1BE9" w:rsidP="005D1BE9">
            <w:pPr>
              <w:pStyle w:val="ndicedeilustraes"/>
              <w:ind w:left="1631" w:hanging="1631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3" w:history="1">
              <w:r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A.5.2.3 - Contratos de prestação de serviços de limpeza e higiene e vigilância ostensiva</w:t>
              </w:r>
            </w:hyperlink>
          </w:p>
          <w:p w:rsidR="005D1BE9" w:rsidRPr="005D1BE9" w:rsidRDefault="005D1BE9" w:rsidP="005D1BE9">
            <w:pPr>
              <w:pStyle w:val="ndicedeilustraes"/>
              <w:ind w:left="1631" w:hanging="1631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4" w:history="1">
              <w:r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A.5.2.4 - Contratos de prestação de serviços com locação de mão de obra</w:t>
              </w:r>
            </w:hyperlink>
          </w:p>
          <w:p w:rsidR="005D1BE9" w:rsidRPr="005D1BE9" w:rsidRDefault="005D1BE9" w:rsidP="005D1BE9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5" w:history="1">
              <w:r w:rsidRPr="005D1BE9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A.5.2.6 - Composição do Quadro de Estagiários</w:t>
              </w:r>
            </w:hyperlink>
          </w:p>
          <w:p w:rsidR="001B43AD" w:rsidRPr="00AC13F8" w:rsidRDefault="001B43AD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</w:p>
        </w:tc>
        <w:tc>
          <w:tcPr>
            <w:tcW w:w="1917" w:type="dxa"/>
            <w:gridSpan w:val="2"/>
          </w:tcPr>
          <w:p w:rsidR="001B43AD" w:rsidRPr="00AC13F8" w:rsidRDefault="00F24271" w:rsidP="00F24271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</w:p>
        </w:tc>
      </w:tr>
      <w:tr w:rsidR="00093F21" w:rsidRPr="00AC13F8" w:rsidTr="001B43AD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br w:type="page"/>
            </w:r>
            <w:r w:rsidRPr="00AC13F8">
              <w:rPr>
                <w:b/>
                <w:lang w:eastAsia="pt-BR"/>
              </w:rPr>
              <w:t>GESTÃO DO PATRIMÔNIO MOBILIÁRIO E IMOBILIÁRIO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917" w:type="dxa"/>
            <w:gridSpan w:val="2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1B43AD" w:rsidRPr="00AC13F8" w:rsidTr="001B43AD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da frota de veículos próprios e locados de terceiros, destacando: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veículos por categoria de uso e por regionalização;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contextualização da relevância da frota de veículos para a execução da atividade-fim da unidade e a consecução dos objetivos estratégicos;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normas que regulamentam a gestão e o uso da frota;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critérios que norteiam a escolha pela aquisição de veículos ou locação;</w:t>
            </w:r>
          </w:p>
          <w:p w:rsidR="001B43AD" w:rsidRPr="00AC13F8" w:rsidRDefault="001B43AD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envolvidos.</w:t>
            </w:r>
          </w:p>
        </w:tc>
        <w:tc>
          <w:tcPr>
            <w:tcW w:w="6304" w:type="dxa"/>
          </w:tcPr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EA075B" w:rsidRDefault="00EA075B" w:rsidP="00EA075B">
            <w:pPr>
              <w:pStyle w:val="ndicedeilustraes"/>
              <w:jc w:val="center"/>
            </w:pPr>
          </w:p>
          <w:p w:rsidR="001B43AD" w:rsidRPr="00AC13F8" w:rsidRDefault="00EA075B" w:rsidP="00EA075B">
            <w:pPr>
              <w:pStyle w:val="ndicedeilustraes"/>
              <w:jc w:val="center"/>
            </w:pPr>
            <w:r>
              <w:t>***</w:t>
            </w:r>
          </w:p>
        </w:tc>
        <w:tc>
          <w:tcPr>
            <w:tcW w:w="1917" w:type="dxa"/>
            <w:gridSpan w:val="2"/>
          </w:tcPr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A70D7" w:rsidRDefault="004A70D7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1B43AD" w:rsidRPr="00AC13F8" w:rsidRDefault="008A3318" w:rsidP="008A331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276" w:type="dxa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38394F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do patrimônio imobiliário da União que esteja sob a responsabilidade da unidade, contemplando: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estrutura de controle e de gestão do patrimônio no âmbito da unidade;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da União;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qualidade e completude dos registros das informações dos imóveis no Sistema de Registro dos Imóveis de Uso Especial da União SPIUnet;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ocorrência e os atos de formalização de cessão, para terceiros, de imóveis da União na responsabilidade da unidade, ou de parte deles, para empreendimento com fins lucrativos ou não. Neste caso, identificar o locador, a forma de contratação, os valores, e benefícios recebidos pela unidade em razão da locação e a forma de contabilização e de utilização dos recursos oriundos da locação;</w:t>
            </w:r>
          </w:p>
          <w:p w:rsidR="001B43AD" w:rsidRPr="00AC13F8" w:rsidRDefault="001B43AD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de manutenção.</w:t>
            </w:r>
          </w:p>
        </w:tc>
        <w:tc>
          <w:tcPr>
            <w:tcW w:w="6304" w:type="dxa"/>
          </w:tcPr>
          <w:p w:rsidR="00EA075B" w:rsidRPr="008A3318" w:rsidRDefault="00EA075B" w:rsidP="00EA075B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6" w:history="1">
              <w:r w:rsidRPr="008A3318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A.6.2.1 – Distribuição Espacial dos Bens Imóveis de Uso Especial de Propriedade da União</w:t>
              </w:r>
            </w:hyperlink>
          </w:p>
          <w:p w:rsidR="00EA075B" w:rsidRPr="00E070E2" w:rsidRDefault="00EA075B" w:rsidP="00EA075B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7" w:history="1">
              <w:r w:rsidRPr="00E070E2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A.6.2.2 – Discriminação dos Bens Imóveis de Propriedade da União sob responsabilidade da UJ, exceto Imóvel Funcional</w:t>
              </w:r>
            </w:hyperlink>
          </w:p>
          <w:p w:rsidR="00EA075B" w:rsidRPr="007615A2" w:rsidRDefault="00EA075B" w:rsidP="00EA075B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hyperlink w:anchor="_Toc360441098" w:history="1">
              <w:r w:rsidRPr="007615A2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  <w:lang w:eastAsia="en-US"/>
                </w:rPr>
                <w:t>Quadro A.6.2.3 – Discriminação de Imóveis Funcionais da União sob responsabilidade da UJ</w:t>
              </w:r>
            </w:hyperlink>
          </w:p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96" w:type="dxa"/>
          </w:tcPr>
          <w:p w:rsidR="001B43AD" w:rsidRPr="00AC13F8" w:rsidRDefault="00EA075B" w:rsidP="00EA075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1597" w:type="dxa"/>
            <w:gridSpan w:val="2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2F54BC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Imóveis locados de terceiros, destacando:</w:t>
            </w:r>
          </w:p>
          <w:p w:rsidR="001B43AD" w:rsidRPr="00AC13F8" w:rsidRDefault="001B43AD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locados;</w:t>
            </w:r>
          </w:p>
          <w:p w:rsidR="001B43AD" w:rsidRPr="00AC13F8" w:rsidRDefault="001B43AD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finalidade de cada imóvel locado;</w:t>
            </w:r>
          </w:p>
          <w:p w:rsidR="001B43AD" w:rsidRPr="00AC13F8" w:rsidRDefault="001B43AD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relacionados ao imóvel, discriminando os custos de  locação e os de manutenção do imóvel.</w:t>
            </w:r>
          </w:p>
        </w:tc>
        <w:tc>
          <w:tcPr>
            <w:tcW w:w="6304" w:type="dxa"/>
          </w:tcPr>
          <w:p w:rsidR="001B43AD" w:rsidRPr="00AC13F8" w:rsidRDefault="00FD2B02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FD2B02">
              <w:rPr>
                <w:lang w:eastAsia="pt-BR"/>
              </w:rPr>
              <w:t>Quadro A.6.3  – Distribuição Espacial dos Bens Imóveis de Uso Especial Locados de Terceiros</w:t>
            </w:r>
          </w:p>
        </w:tc>
        <w:tc>
          <w:tcPr>
            <w:tcW w:w="1596" w:type="dxa"/>
          </w:tcPr>
          <w:p w:rsidR="001B43AD" w:rsidRPr="00AC13F8" w:rsidRDefault="009E5FC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       </w:t>
            </w:r>
            <w:r>
              <w:rPr>
                <w:lang w:eastAsia="pt-BR"/>
              </w:rPr>
              <w:t>PROAD</w:t>
            </w:r>
          </w:p>
        </w:tc>
        <w:tc>
          <w:tcPr>
            <w:tcW w:w="1597" w:type="dxa"/>
            <w:gridSpan w:val="2"/>
          </w:tcPr>
          <w:p w:rsidR="001B43AD" w:rsidRPr="00AC13F8" w:rsidRDefault="001B43AD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093F21" w:rsidRPr="00AC13F8" w:rsidTr="00830DF9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GESTÃO DA TECNOLOGIA DA INFORMAÇÃO E GESTÃO DO CONHECIMENTO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59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97" w:type="dxa"/>
            <w:gridSpan w:val="2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093F21" w:rsidRPr="00AC13F8" w:rsidTr="00C526DF">
        <w:trPr>
          <w:cantSplit/>
        </w:trPr>
        <w:tc>
          <w:tcPr>
            <w:tcW w:w="993" w:type="dxa"/>
            <w:vAlign w:val="center"/>
          </w:tcPr>
          <w:p w:rsidR="00093F21" w:rsidRPr="00AC13F8" w:rsidRDefault="00093F21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bCs/>
                <w:lang w:eastAsia="pt-BR"/>
              </w:rPr>
              <w:t xml:space="preserve">Gestão da tecnologia da informação (TI), conforme orientações da portaria prevista no </w:t>
            </w:r>
            <w:r w:rsidRPr="00AC13F8">
              <w:rPr>
                <w:lang w:eastAsia="pt-BR"/>
              </w:rPr>
              <w:t xml:space="preserve">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 xml:space="preserve"> desta decisão normativa.</w:t>
            </w:r>
          </w:p>
        </w:tc>
        <w:tc>
          <w:tcPr>
            <w:tcW w:w="6304" w:type="dxa"/>
          </w:tcPr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bCs/>
                <w:lang w:eastAsia="pt-BR"/>
              </w:rPr>
            </w:pPr>
          </w:p>
          <w:p w:rsidR="00093F21" w:rsidRPr="00AC13F8" w:rsidRDefault="008727AC" w:rsidP="008727AC">
            <w:pPr>
              <w:spacing w:before="60" w:after="60" w:line="276" w:lineRule="auto"/>
              <w:ind w:right="72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***</w:t>
            </w:r>
          </w:p>
        </w:tc>
        <w:tc>
          <w:tcPr>
            <w:tcW w:w="1596" w:type="dxa"/>
          </w:tcPr>
          <w:p w:rsidR="00093F21" w:rsidRPr="00AC13F8" w:rsidRDefault="008727AC" w:rsidP="008727AC">
            <w:pPr>
              <w:spacing w:before="60" w:after="60" w:line="276" w:lineRule="auto"/>
              <w:ind w:right="72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PRODIN</w:t>
            </w:r>
          </w:p>
        </w:tc>
        <w:tc>
          <w:tcPr>
            <w:tcW w:w="1597" w:type="dxa"/>
            <w:gridSpan w:val="2"/>
          </w:tcPr>
          <w:p w:rsidR="00093F21" w:rsidRPr="00AC13F8" w:rsidRDefault="00093F21" w:rsidP="00F82EAA">
            <w:pPr>
              <w:spacing w:before="60" w:after="60" w:line="276" w:lineRule="auto"/>
              <w:ind w:right="72"/>
              <w:jc w:val="both"/>
              <w:rPr>
                <w:bCs/>
                <w:lang w:eastAsia="pt-BR"/>
              </w:rPr>
            </w:pPr>
          </w:p>
        </w:tc>
      </w:tr>
    </w:tbl>
    <w:p w:rsidR="00C62884" w:rsidRDefault="00C62884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634"/>
        <w:gridCol w:w="1559"/>
      </w:tblGrid>
      <w:tr w:rsidR="00093F21" w:rsidRPr="00AC13F8" w:rsidTr="00093F21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DO USO DOS RECURSOS RENOVÁVEIS E SUSTENTABILIDADE AMBIENTAL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634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59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1B43AD" w:rsidRPr="00AC13F8" w:rsidTr="00093F21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Adoção de critérios de sustentabilidade ambiental na aquisição de bens e na contratação de serviços ou obras. </w:t>
            </w:r>
          </w:p>
        </w:tc>
        <w:tc>
          <w:tcPr>
            <w:tcW w:w="6304" w:type="dxa"/>
          </w:tcPr>
          <w:p w:rsidR="001B43AD" w:rsidRPr="00AC13F8" w:rsidRDefault="008727A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A.8.1 - Gestão Ambiental e Licitações Sustentáveis</w:t>
            </w:r>
          </w:p>
        </w:tc>
        <w:tc>
          <w:tcPr>
            <w:tcW w:w="1634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59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093F21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Política de separação de resíduos recicláveis descartados.</w:t>
            </w:r>
          </w:p>
        </w:tc>
        <w:tc>
          <w:tcPr>
            <w:tcW w:w="6304" w:type="dxa"/>
          </w:tcPr>
          <w:p w:rsidR="001B43AD" w:rsidRPr="00AC13F8" w:rsidRDefault="008727A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A.8.2 – Consumo de Papel, Energia Elétrica e Água</w:t>
            </w:r>
          </w:p>
        </w:tc>
        <w:tc>
          <w:tcPr>
            <w:tcW w:w="1634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59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093F21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Medidas para redução de consumo próprio de papel, energia elétrica e água, contemplando:</w:t>
            </w:r>
          </w:p>
          <w:p w:rsidR="001B43AD" w:rsidRPr="00AC13F8" w:rsidRDefault="001B43AD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Detalhamento da política adotada pela unidade para estimular o uso racional desses recursos;</w:t>
            </w:r>
          </w:p>
          <w:p w:rsidR="001B43AD" w:rsidRPr="00AC13F8" w:rsidRDefault="001B43AD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Adesão a programas de gestão da sustentabilidade, tais como Agenda Ambiental na Administração Pública (A3P), Programa de Eficiência do Gasto (PEG) e Programa de Eficiência Energética em Prédios Públicos (Procel EPP);</w:t>
            </w:r>
          </w:p>
          <w:p w:rsidR="001B43AD" w:rsidRPr="00AC13F8" w:rsidRDefault="001B43AD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Evolução histórica do consumo, em valores monetários e quantitativos, de energia elétrica e água no âmbito das unidades que compõem o relatório de gestão.</w:t>
            </w:r>
          </w:p>
        </w:tc>
        <w:tc>
          <w:tcPr>
            <w:tcW w:w="6304" w:type="dxa"/>
          </w:tcPr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8727AC" w:rsidRDefault="008727AC" w:rsidP="008727A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1B43AD" w:rsidRPr="00AC13F8" w:rsidRDefault="008727AC" w:rsidP="008727A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4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59" w:type="dxa"/>
          </w:tcPr>
          <w:p w:rsidR="001B43AD" w:rsidRPr="00AC13F8" w:rsidRDefault="001B43A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>
      <w:r>
        <w:br w:type="page"/>
      </w:r>
    </w:p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304"/>
        <w:gridCol w:w="1596"/>
        <w:gridCol w:w="1597"/>
      </w:tblGrid>
      <w:tr w:rsidR="00093F21" w:rsidRPr="00AC13F8" w:rsidTr="008727AC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CONFORMIDADES E TRATAMENTO DE DISPOSIÇÕES LEGAIS E NORMATIVAS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59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97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093F21" w:rsidRPr="00AC13F8" w:rsidTr="008727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  <w:hideMark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deliberações exaradas em acórdãos do TCU.</w:t>
            </w:r>
          </w:p>
        </w:tc>
        <w:tc>
          <w:tcPr>
            <w:tcW w:w="6304" w:type="dxa"/>
          </w:tcPr>
          <w:p w:rsidR="00093F21" w:rsidRDefault="008727AC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A.9.1 - Cumprimento das deliberações do TCU atendidas no exercício</w:t>
            </w:r>
          </w:p>
          <w:p w:rsidR="008727AC" w:rsidRPr="00AC13F8" w:rsidRDefault="008727AC" w:rsidP="008727AC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A.9.1.2 - Situação das deliberações do TCU que permanecem pendentes de atendimento no exercício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  <w:hideMark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recomendações feitas pelo órgão de controle interno a que a unidade jurisdicionada se vincula.</w:t>
            </w:r>
          </w:p>
        </w:tc>
        <w:tc>
          <w:tcPr>
            <w:tcW w:w="6304" w:type="dxa"/>
          </w:tcPr>
          <w:p w:rsidR="00093F21" w:rsidRDefault="008727AC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A.9.2.1 - Relatório de cumprimento das recomendações do OCI</w:t>
            </w:r>
          </w:p>
          <w:p w:rsidR="008727AC" w:rsidRPr="00AC13F8" w:rsidRDefault="008727AC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8727AC">
              <w:rPr>
                <w:lang w:eastAsia="pt-BR"/>
              </w:rPr>
              <w:t>Quadro A.9.2.2 - Situação das recomendações do OCI que permanecem pendentes de atendimento no exercício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  <w:hideMark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recomendações feitas pela unidade de auditoria interna.</w:t>
            </w:r>
          </w:p>
        </w:tc>
        <w:tc>
          <w:tcPr>
            <w:tcW w:w="6304" w:type="dxa"/>
          </w:tcPr>
          <w:p w:rsidR="00093F21" w:rsidRPr="00AC13F8" w:rsidRDefault="0074112C" w:rsidP="0074112C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rPr>
          <w:cantSplit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 cumprimento das obrigações estabelecidas na Lei nº 8.730, de 10 de novembro de 1993, relacionadas à entrega e ao tratamento das declarações de bens e rendas.</w:t>
            </w:r>
          </w:p>
        </w:tc>
        <w:tc>
          <w:tcPr>
            <w:tcW w:w="6304" w:type="dxa"/>
          </w:tcPr>
          <w:p w:rsidR="00093F21" w:rsidRPr="00AC13F8" w:rsidRDefault="0074112C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74112C">
              <w:rPr>
                <w:lang w:eastAsia="pt-BR"/>
              </w:rPr>
              <w:t>Quadro A.9.4.1 – Demonstrativo do cumprimento, por autoridades e servidores da UJ, da obrigação de entregar a DBR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de adoção de medidas administrativas para apurar responsabilidade por ocorrência de dano ao Erário, especificando os esforços da unidade jurisdicionada para sanar o débito no âmbito interno e também:</w:t>
            </w:r>
          </w:p>
          <w:p w:rsidR="00093F21" w:rsidRPr="00AC13F8" w:rsidRDefault="00093F21" w:rsidP="00093F21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casos que foram objeto de medidas administrativas internas;</w:t>
            </w:r>
          </w:p>
          <w:p w:rsidR="00093F21" w:rsidRPr="00AC13F8" w:rsidRDefault="00093F21" w:rsidP="00093F21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tomadas de contas especiais cuja instauração foi dispensada nos termos do art. 6º da IN TCU nº 71/2012;</w:t>
            </w:r>
          </w:p>
          <w:p w:rsidR="00093F21" w:rsidRPr="00AC13F8" w:rsidRDefault="00093F21" w:rsidP="00093F21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tomadas de contas especiais instauradas no exercício, remetidas e não rematidas ao Tribunal de Contas da União.</w:t>
            </w:r>
          </w:p>
        </w:tc>
        <w:tc>
          <w:tcPr>
            <w:tcW w:w="6304" w:type="dxa"/>
          </w:tcPr>
          <w:p w:rsidR="00093F21" w:rsidRPr="00AC13F8" w:rsidRDefault="00AC186E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86E">
              <w:rPr>
                <w:lang w:eastAsia="pt-BR"/>
              </w:rPr>
              <w:t>Quadro A.9.5 – Medidas Adotadas em Caso de Dano ao Erário em 2013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Demonstração, com a identificação do gestor responsável, da correção e tempestividade da inserção das informações referentes a contratos e convênios ou outros instrumentos congêneres respectivamente no Sistema Integrado de Administração de Serviços Gerais – SIASG e no Sistema de Gestão de Convênios, Contratos de Repasse e Termos de Parceria – SICONV, conforme estabelece o art. 17 da Lei nº 12.708, de 17 de agosto de 2012.</w:t>
            </w:r>
          </w:p>
        </w:tc>
        <w:tc>
          <w:tcPr>
            <w:tcW w:w="6304" w:type="dxa"/>
          </w:tcPr>
          <w:p w:rsidR="00093F21" w:rsidRPr="00AC13F8" w:rsidRDefault="00AC186E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86E">
              <w:rPr>
                <w:lang w:eastAsia="pt-BR"/>
              </w:rPr>
              <w:t>Quadro A.9.6 – Modelo de declaração de inserção e atualização de dados no SIASG e SICONV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rPr>
          <w:cantSplit/>
          <w:trHeight w:val="48"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RELACIONAMENTO COM A SOCIEDADE</w:t>
            </w:r>
          </w:p>
        </w:tc>
        <w:tc>
          <w:tcPr>
            <w:tcW w:w="6304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596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597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093F21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dos canais de acesso do cidadão ao órgão ou entidade para fins de solicitações, reclamações, denúncias, sugestões, etc., contemplando informações gerenciais e estatísticas sobre o atendimento às demandas.</w:t>
            </w:r>
          </w:p>
        </w:tc>
        <w:tc>
          <w:tcPr>
            <w:tcW w:w="6304" w:type="dxa"/>
          </w:tcPr>
          <w:p w:rsidR="00093F21" w:rsidRPr="00AC13F8" w:rsidRDefault="00AC186E" w:rsidP="00AC186E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Mecanismos para medir a satisfação dos cidadãos-usuários ou clientes dos produtos e serviços resultantes da atuação da unidade. </w:t>
            </w:r>
          </w:p>
        </w:tc>
        <w:tc>
          <w:tcPr>
            <w:tcW w:w="6304" w:type="dxa"/>
          </w:tcPr>
          <w:p w:rsidR="00093F21" w:rsidRPr="00AC13F8" w:rsidRDefault="00AC186E" w:rsidP="00AC186E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093F21" w:rsidRPr="00AC13F8" w:rsidTr="008727AC">
        <w:trPr>
          <w:cantSplit/>
          <w:trHeight w:val="48"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dos resultados de eventuais pesquisas de opinião feitas nos últimos três últimos anos com cidadãos em geral, segmentos organizados da sociedade ou usuários dos produtos e serviços resultantes da atuação do órgão ou entidade.</w:t>
            </w:r>
          </w:p>
        </w:tc>
        <w:tc>
          <w:tcPr>
            <w:tcW w:w="6304" w:type="dxa"/>
          </w:tcPr>
          <w:p w:rsidR="00093F21" w:rsidRPr="00AC13F8" w:rsidRDefault="00AC186E" w:rsidP="00AC186E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96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59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p w:rsidR="007B764B" w:rsidRDefault="007B764B"/>
    <w:p w:rsidR="007B764B" w:rsidRDefault="007B764B"/>
    <w:p w:rsidR="007B764B" w:rsidRDefault="007B764B"/>
    <w:p w:rsidR="007B764B" w:rsidRDefault="007B764B"/>
    <w:p w:rsidR="007B764B" w:rsidRDefault="007B764B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6237"/>
        <w:gridCol w:w="1630"/>
        <w:gridCol w:w="1630"/>
      </w:tblGrid>
      <w:tr w:rsidR="00093F21" w:rsidRPr="00AC13F8" w:rsidTr="007B764B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INFORMAÇÕES CONTÁBEIS</w:t>
            </w:r>
          </w:p>
        </w:tc>
        <w:tc>
          <w:tcPr>
            <w:tcW w:w="6237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630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630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1B43AD" w:rsidRPr="00AC13F8" w:rsidTr="007B764B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das medidas para adoção de critérios e procedimentos estabelecidos pelas Normas Brasileiras de Contabilidade Aplicada ao Setor Público NBC T 16.9 e NBC T 16.10, publicadas pelas Resoluções CFC nº 1.136/2008 e 1.137/2008, respectivamente, para tratamento contábil da depreciação, da amortização e da exaustão de itens do patrimônio e avaliação e mensuração de ativos e passivos da unidade. </w:t>
            </w:r>
          </w:p>
        </w:tc>
        <w:tc>
          <w:tcPr>
            <w:tcW w:w="6237" w:type="dxa"/>
          </w:tcPr>
          <w:p w:rsidR="007B764B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7B764B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7B764B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1B43AD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7B764B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Declaração do contador responsável por unidade jurisdicionada que tenha executado sua contabilidade no Sistema Integrado de Administração Financeira do Governo Federal – SIAFI, que as Demonstrações Contábeis (Balanço Patrimonial, Balanço Orçamentário, Balanço Financeiro, Demonstração das Variações Patrimoniais, Demonstração dos Fluxos de Caixa e Demonstração do Resultado Econômico) previstas pela Lei nº 4.320, de 17 de março de 1964, e pela Norma Brasileira de Contabilidade Aplicada ao Setor Público NBC T 16.6 aprovada pela Resolução CFC nº 1.133/2008, assim como o demonstrativo levantado por unidade gestora responsável – UGR (válido apenas para as unidades gestoras não executoras) refletem a adequada situação orçamentária, financeira e patrimonial da unidade jurisdicionada que apresenta relatório de gestão.</w:t>
            </w:r>
          </w:p>
        </w:tc>
        <w:tc>
          <w:tcPr>
            <w:tcW w:w="6237" w:type="dxa"/>
          </w:tcPr>
          <w:p w:rsidR="001B43AD" w:rsidRDefault="007B764B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7B764B">
              <w:rPr>
                <w:lang w:eastAsia="pt-BR"/>
              </w:rPr>
              <w:t>Quadro A.11.2.1 - Declaração de que as demonstrações contábeis do exercício refletem corretamente a situação orçamentária, financeira e patrimonial da unidade jurisdicionada</w:t>
            </w:r>
          </w:p>
          <w:p w:rsidR="007B764B" w:rsidRPr="00AC13F8" w:rsidRDefault="007B764B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7B764B">
              <w:rPr>
                <w:lang w:eastAsia="pt-BR"/>
              </w:rPr>
              <w:t>Quadro A.11.2.2 - Declaração de que as demonstrações contábeis do exercício Não refletem corretamente a situação orçamentária, financeira e patrimonial da unidade jurisdicionada</w:t>
            </w: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7B764B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Demonstrações Contábeis previstas pela Lei nº 4.320/64 e pela NBC T 16.6 aprovada pela Resolução CFC nº 1.133/2008, incluindo as notas explicativas, no caso das unidades </w:t>
            </w:r>
            <w:r w:rsidRPr="00AC13F8">
              <w:rPr>
                <w:b/>
                <w:lang w:eastAsia="pt-BR"/>
              </w:rPr>
              <w:t>que não executaram</w:t>
            </w:r>
            <w:r w:rsidRPr="00AC13F8">
              <w:rPr>
                <w:lang w:eastAsia="pt-BR"/>
              </w:rPr>
              <w:t xml:space="preserve"> sua contabilidade no Sistema Integrado de Administração Financeira do Governo Federal – SIAFI.</w:t>
            </w:r>
          </w:p>
        </w:tc>
        <w:tc>
          <w:tcPr>
            <w:tcW w:w="6237" w:type="dxa"/>
          </w:tcPr>
          <w:p w:rsidR="00D23109" w:rsidRDefault="00D23109" w:rsidP="00D2310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D23109" w:rsidRDefault="00D23109" w:rsidP="00D2310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1B43AD" w:rsidRPr="00AC13F8" w:rsidRDefault="00D23109" w:rsidP="00D2310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bookmarkStart w:id="0" w:name="_GoBack"/>
            <w:bookmarkEnd w:id="0"/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7B764B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6237" w:type="dxa"/>
          </w:tcPr>
          <w:p w:rsidR="001B43AD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7B764B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6237" w:type="dxa"/>
          </w:tcPr>
          <w:p w:rsidR="001B43AD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1B43AD" w:rsidRPr="00AC13F8" w:rsidTr="007B764B">
        <w:trPr>
          <w:cantSplit/>
        </w:trPr>
        <w:tc>
          <w:tcPr>
            <w:tcW w:w="993" w:type="dxa"/>
            <w:vAlign w:val="center"/>
          </w:tcPr>
          <w:p w:rsidR="001B43AD" w:rsidRPr="00AC13F8" w:rsidRDefault="001B43A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Relatório do auditor independente sobre as demonstrações contábeis, caso tenha havido a contratação desse serviço pela entidade.</w:t>
            </w:r>
          </w:p>
        </w:tc>
        <w:tc>
          <w:tcPr>
            <w:tcW w:w="6237" w:type="dxa"/>
          </w:tcPr>
          <w:p w:rsidR="007B764B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1B43AD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630" w:type="dxa"/>
          </w:tcPr>
          <w:p w:rsidR="001B43AD" w:rsidRPr="00AC13F8" w:rsidRDefault="001B43A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093F21" w:rsidRPr="00AC13F8" w:rsidTr="007B764B">
        <w:trPr>
          <w:cantSplit/>
        </w:trPr>
        <w:tc>
          <w:tcPr>
            <w:tcW w:w="6380" w:type="dxa"/>
            <w:gridSpan w:val="2"/>
            <w:shd w:val="clear" w:color="auto" w:fill="F2F2F2"/>
            <w:vAlign w:val="center"/>
          </w:tcPr>
          <w:p w:rsidR="00093F21" w:rsidRPr="00AC13F8" w:rsidRDefault="00093F21" w:rsidP="00093F21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OUTRAS INFORMAÇÕES SOBRE A GESTÃO</w:t>
            </w:r>
          </w:p>
        </w:tc>
        <w:tc>
          <w:tcPr>
            <w:tcW w:w="6237" w:type="dxa"/>
            <w:shd w:val="clear" w:color="auto" w:fill="F2F2F2"/>
          </w:tcPr>
          <w:p w:rsidR="00093F21" w:rsidRPr="005F23C3" w:rsidRDefault="00093F21" w:rsidP="00093F21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F23C3">
              <w:rPr>
                <w:b/>
                <w:lang w:eastAsia="pt-BR"/>
              </w:rPr>
              <w:t>QUADROS</w:t>
            </w:r>
          </w:p>
        </w:tc>
        <w:tc>
          <w:tcPr>
            <w:tcW w:w="1630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630" w:type="dxa"/>
            <w:shd w:val="clear" w:color="auto" w:fill="F2F2F2"/>
          </w:tcPr>
          <w:p w:rsidR="00093F21" w:rsidRPr="00AC13F8" w:rsidRDefault="00093F21" w:rsidP="00093F21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093F21" w:rsidRPr="00AC13F8" w:rsidTr="007B764B">
        <w:trPr>
          <w:cantSplit/>
        </w:trPr>
        <w:tc>
          <w:tcPr>
            <w:tcW w:w="993" w:type="dxa"/>
            <w:vAlign w:val="center"/>
          </w:tcPr>
          <w:p w:rsidR="00093F21" w:rsidRPr="00AC13F8" w:rsidRDefault="00093F21" w:rsidP="00093F21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5387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Informações não exigidas neste Anexo que sejam consideradas relevantes pela unidade para demonstrar a conformidade e o desempenho da gestão no exercício.</w:t>
            </w:r>
          </w:p>
        </w:tc>
        <w:tc>
          <w:tcPr>
            <w:tcW w:w="6237" w:type="dxa"/>
          </w:tcPr>
          <w:p w:rsidR="007B764B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093F21" w:rsidRPr="00AC13F8" w:rsidRDefault="007B764B" w:rsidP="007B764B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630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630" w:type="dxa"/>
          </w:tcPr>
          <w:p w:rsidR="00093F21" w:rsidRPr="00AC13F8" w:rsidRDefault="00093F21" w:rsidP="00093F21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597161" w:rsidRDefault="00597161" w:rsidP="00597161"/>
    <w:sectPr w:rsidR="00597161" w:rsidSect="00C62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0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A4"/>
    <w:rsid w:val="00044415"/>
    <w:rsid w:val="00090A66"/>
    <w:rsid w:val="00093F21"/>
    <w:rsid w:val="000A7E1B"/>
    <w:rsid w:val="000E081E"/>
    <w:rsid w:val="00110CDC"/>
    <w:rsid w:val="001114DE"/>
    <w:rsid w:val="001B43AD"/>
    <w:rsid w:val="00201877"/>
    <w:rsid w:val="00300C01"/>
    <w:rsid w:val="00311D93"/>
    <w:rsid w:val="00336743"/>
    <w:rsid w:val="00355F19"/>
    <w:rsid w:val="003A2B87"/>
    <w:rsid w:val="003A72DC"/>
    <w:rsid w:val="003F01F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57242"/>
    <w:rsid w:val="0070567F"/>
    <w:rsid w:val="0074112C"/>
    <w:rsid w:val="00745639"/>
    <w:rsid w:val="007615A2"/>
    <w:rsid w:val="007B764B"/>
    <w:rsid w:val="008354ED"/>
    <w:rsid w:val="00835B6B"/>
    <w:rsid w:val="008727AC"/>
    <w:rsid w:val="008824B1"/>
    <w:rsid w:val="008A3318"/>
    <w:rsid w:val="00917B0A"/>
    <w:rsid w:val="009364FF"/>
    <w:rsid w:val="009371E8"/>
    <w:rsid w:val="009E5FC7"/>
    <w:rsid w:val="00A83162"/>
    <w:rsid w:val="00AA51A4"/>
    <w:rsid w:val="00AC186E"/>
    <w:rsid w:val="00AC29C4"/>
    <w:rsid w:val="00B16233"/>
    <w:rsid w:val="00B842D9"/>
    <w:rsid w:val="00BF2B09"/>
    <w:rsid w:val="00C2638E"/>
    <w:rsid w:val="00C62884"/>
    <w:rsid w:val="00C87FA1"/>
    <w:rsid w:val="00CD6DFB"/>
    <w:rsid w:val="00D23109"/>
    <w:rsid w:val="00D33AC1"/>
    <w:rsid w:val="00D413C9"/>
    <w:rsid w:val="00D57904"/>
    <w:rsid w:val="00DA6A98"/>
    <w:rsid w:val="00DB3FDF"/>
    <w:rsid w:val="00E070E2"/>
    <w:rsid w:val="00E50CC1"/>
    <w:rsid w:val="00EA075B"/>
    <w:rsid w:val="00EE6251"/>
    <w:rsid w:val="00F24271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CD60-6271-460A-BA8C-1D30E795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3714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69</cp:revision>
  <cp:lastPrinted>2014-01-15T20:33:00Z</cp:lastPrinted>
  <dcterms:created xsi:type="dcterms:W3CDTF">2014-01-04T14:23:00Z</dcterms:created>
  <dcterms:modified xsi:type="dcterms:W3CDTF">2014-01-15T21:59:00Z</dcterms:modified>
</cp:coreProperties>
</file>