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711EE8">
      <w:pPr>
        <w:jc w:val="center"/>
      </w:pPr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711EE8">
      <w:pPr>
        <w:jc w:val="center"/>
      </w:pPr>
    </w:p>
    <w:p w:rsidR="00597161" w:rsidRDefault="00597161" w:rsidP="00711EE8">
      <w:pPr>
        <w:jc w:val="center"/>
      </w:pPr>
      <w:r>
        <w:rPr>
          <w:noProof/>
          <w:lang w:eastAsia="pt-BR"/>
        </w:rPr>
        <w:drawing>
          <wp:inline distT="0" distB="0" distL="0" distR="0" wp14:anchorId="3327AC1F" wp14:editId="783416C1">
            <wp:extent cx="5572125" cy="1268095"/>
            <wp:effectExtent l="0" t="0" r="952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711EE8">
      <w:pPr>
        <w:jc w:val="center"/>
      </w:pPr>
      <w:r>
        <w:t xml:space="preserve">A DN faz referência ai </w:t>
      </w:r>
      <w:proofErr w:type="spellStart"/>
      <w:r>
        <w:t>ítem</w:t>
      </w:r>
      <w:proofErr w:type="spellEnd"/>
      <w:r>
        <w:t xml:space="preserve"> 2.4 no entanto o mesmo não consta do anexo.</w:t>
      </w:r>
    </w:p>
    <w:p w:rsidR="00597161" w:rsidRDefault="00597161" w:rsidP="00711EE8">
      <w:pPr>
        <w:jc w:val="center"/>
      </w:pPr>
    </w:p>
    <w:p w:rsidR="00917B0A" w:rsidRPr="00AC13F8" w:rsidRDefault="00917B0A" w:rsidP="00711EE8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917B0A" w:rsidRPr="00AC13F8" w:rsidRDefault="00917B0A" w:rsidP="00917B0A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lastRenderedPageBreak/>
        <w:t>CONTEÚDO DO RELATÓRIO DE GESTÃO</w:t>
      </w:r>
    </w:p>
    <w:p w:rsidR="00917B0A" w:rsidRPr="00AC13F8" w:rsidRDefault="00917B0A" w:rsidP="00917B0A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Os </w:t>
      </w:r>
      <w:proofErr w:type="spellStart"/>
      <w:r w:rsidRPr="00AC13F8">
        <w:rPr>
          <w:bCs/>
          <w:lang w:eastAsia="pt-BR"/>
        </w:rPr>
        <w:t>conteúdos</w:t>
      </w:r>
      <w:proofErr w:type="spellEnd"/>
      <w:r w:rsidRPr="00AC13F8">
        <w:rPr>
          <w:bCs/>
          <w:lang w:eastAsia="pt-BR"/>
        </w:rPr>
        <w:t xml:space="preserve">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596"/>
        <w:gridCol w:w="1597"/>
      </w:tblGrid>
      <w:tr w:rsidR="004768E2" w:rsidRPr="00AC13F8" w:rsidTr="008727AC">
        <w:trPr>
          <w:cantSplit/>
          <w:trHeight w:val="48"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4768E2" w:rsidRPr="00AC13F8" w:rsidRDefault="004768E2" w:rsidP="00D23CA4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RELACIONAMENTO COM A SOCIEDADE</w:t>
            </w:r>
          </w:p>
        </w:tc>
        <w:tc>
          <w:tcPr>
            <w:tcW w:w="6304" w:type="dxa"/>
            <w:shd w:val="clear" w:color="auto" w:fill="F2F2F2"/>
          </w:tcPr>
          <w:p w:rsidR="004768E2" w:rsidRPr="005F23C3" w:rsidRDefault="004768E2" w:rsidP="004768E2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596" w:type="dxa"/>
            <w:shd w:val="clear" w:color="auto" w:fill="F2F2F2"/>
          </w:tcPr>
          <w:p w:rsidR="004768E2" w:rsidRPr="00AC13F8" w:rsidRDefault="004768E2" w:rsidP="004768E2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97" w:type="dxa"/>
            <w:shd w:val="clear" w:color="auto" w:fill="F2F2F2"/>
          </w:tcPr>
          <w:p w:rsidR="004768E2" w:rsidRPr="00AC13F8" w:rsidRDefault="004768E2" w:rsidP="004768E2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D706EC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D706EC" w:rsidRPr="00AC13F8" w:rsidRDefault="00D706EC" w:rsidP="00D23CA4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dos canais de acesso do cidadão ao órgão ou entidade para fins de solicitações, reclamações, denúncias, sugestões, etc., contemplando informações gerenciais e estatísticas sobre o atendimento às demandas.</w:t>
            </w:r>
          </w:p>
        </w:tc>
        <w:tc>
          <w:tcPr>
            <w:tcW w:w="6304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159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D706EC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D706EC" w:rsidRPr="00AC13F8" w:rsidRDefault="00D706EC" w:rsidP="00D23CA4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Mecanismos para medir a satisfação dos cidadãos-usuários ou clientes dos produtos e serviços resultantes da atuação da unidade. </w:t>
            </w:r>
          </w:p>
        </w:tc>
        <w:tc>
          <w:tcPr>
            <w:tcW w:w="6304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159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D706EC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D706EC" w:rsidRPr="00AC13F8" w:rsidRDefault="00D706EC" w:rsidP="00D23CA4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dos resultados de eventuais pesquisas de opinião feitas nos últimos três últimos anos com cidadãos em geral, segmentos organizados da sociedade ou usuários dos produtos e serviços resultantes da atuação do órgão ou entidade.</w:t>
            </w:r>
          </w:p>
        </w:tc>
        <w:tc>
          <w:tcPr>
            <w:tcW w:w="6304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1597" w:type="dxa"/>
          </w:tcPr>
          <w:p w:rsidR="00D706EC" w:rsidRPr="00AC13F8" w:rsidRDefault="00D706EC" w:rsidP="00D706EC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p w:rsidR="007B764B" w:rsidRDefault="007B764B"/>
    <w:p w:rsidR="007B764B" w:rsidRDefault="007B764B"/>
    <w:p w:rsidR="007B764B" w:rsidRDefault="007B764B">
      <w:bookmarkStart w:id="0" w:name="_GoBack"/>
      <w:bookmarkEnd w:id="0"/>
    </w:p>
    <w:p w:rsidR="007B764B" w:rsidRDefault="007B764B"/>
    <w:p w:rsidR="007B764B" w:rsidRDefault="007B764B"/>
    <w:sectPr w:rsidR="007B764B" w:rsidSect="00C62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B723E"/>
    <w:multiLevelType w:val="multilevel"/>
    <w:tmpl w:val="7F7C445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D02688E"/>
    <w:multiLevelType w:val="multilevel"/>
    <w:tmpl w:val="529C7A5A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2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44415"/>
    <w:rsid w:val="00090A66"/>
    <w:rsid w:val="00093F21"/>
    <w:rsid w:val="000A7E1B"/>
    <w:rsid w:val="000E081E"/>
    <w:rsid w:val="00110CDC"/>
    <w:rsid w:val="001114DE"/>
    <w:rsid w:val="001B43AD"/>
    <w:rsid w:val="001C4F95"/>
    <w:rsid w:val="00201877"/>
    <w:rsid w:val="00300C01"/>
    <w:rsid w:val="00311D93"/>
    <w:rsid w:val="00336743"/>
    <w:rsid w:val="00355F19"/>
    <w:rsid w:val="00366DBA"/>
    <w:rsid w:val="003A2B87"/>
    <w:rsid w:val="003A72DC"/>
    <w:rsid w:val="003F01F2"/>
    <w:rsid w:val="004768E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03723"/>
    <w:rsid w:val="00657242"/>
    <w:rsid w:val="006658E2"/>
    <w:rsid w:val="0070567F"/>
    <w:rsid w:val="00711EE8"/>
    <w:rsid w:val="0074112C"/>
    <w:rsid w:val="00745639"/>
    <w:rsid w:val="007615A2"/>
    <w:rsid w:val="007B764B"/>
    <w:rsid w:val="008354ED"/>
    <w:rsid w:val="00835B6B"/>
    <w:rsid w:val="008727AC"/>
    <w:rsid w:val="00873666"/>
    <w:rsid w:val="008824B1"/>
    <w:rsid w:val="008A3318"/>
    <w:rsid w:val="00917B0A"/>
    <w:rsid w:val="009364FF"/>
    <w:rsid w:val="009371E8"/>
    <w:rsid w:val="00951396"/>
    <w:rsid w:val="009E5FC7"/>
    <w:rsid w:val="00A83162"/>
    <w:rsid w:val="00AA51A4"/>
    <w:rsid w:val="00AC186E"/>
    <w:rsid w:val="00AC29C4"/>
    <w:rsid w:val="00B16233"/>
    <w:rsid w:val="00B842D9"/>
    <w:rsid w:val="00BF2B09"/>
    <w:rsid w:val="00C163FF"/>
    <w:rsid w:val="00C2638E"/>
    <w:rsid w:val="00C333F7"/>
    <w:rsid w:val="00C62884"/>
    <w:rsid w:val="00C87FA1"/>
    <w:rsid w:val="00CD6DFB"/>
    <w:rsid w:val="00D23109"/>
    <w:rsid w:val="00D23CA4"/>
    <w:rsid w:val="00D33AC1"/>
    <w:rsid w:val="00D413C9"/>
    <w:rsid w:val="00D57904"/>
    <w:rsid w:val="00D706EC"/>
    <w:rsid w:val="00DA6A98"/>
    <w:rsid w:val="00DB3FDF"/>
    <w:rsid w:val="00E070E2"/>
    <w:rsid w:val="00E50CC1"/>
    <w:rsid w:val="00EA075B"/>
    <w:rsid w:val="00EE6251"/>
    <w:rsid w:val="00F24271"/>
    <w:rsid w:val="00F94936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D174-01A3-47E9-BABB-EE524285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7</cp:revision>
  <cp:lastPrinted>2014-01-15T20:33:00Z</cp:lastPrinted>
  <dcterms:created xsi:type="dcterms:W3CDTF">2014-01-21T14:04:00Z</dcterms:created>
  <dcterms:modified xsi:type="dcterms:W3CDTF">2014-01-21T15:15:00Z</dcterms:modified>
</cp:coreProperties>
</file>