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604"/>
        <w:gridCol w:w="1133"/>
        <w:gridCol w:w="1418"/>
        <w:gridCol w:w="424"/>
        <w:gridCol w:w="673"/>
        <w:gridCol w:w="178"/>
        <w:gridCol w:w="992"/>
        <w:gridCol w:w="426"/>
        <w:gridCol w:w="1417"/>
      </w:tblGrid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Unidade </w:t>
            </w:r>
            <w:proofErr w:type="gramStart"/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Orçamentária :</w:t>
            </w:r>
            <w:proofErr w:type="gramEnd"/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 UO: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Origem dos Créditos Orçamentários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 Correntes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– Pessoal e Encargos Sociais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– Juros e Encargos da Dívida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3- Outras Despesas Correntes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INICIAL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915EB9" w:rsidRPr="00915EB9">
              <w:rPr>
                <w:rFonts w:eastAsia="Times New Roman"/>
                <w:color w:val="000000"/>
                <w:sz w:val="20"/>
                <w:szCs w:val="20"/>
              </w:rPr>
              <w:t>93.691.479,00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915EB9" w:rsidRPr="00915EB9">
              <w:rPr>
                <w:rFonts w:eastAsia="Times New Roman"/>
                <w:color w:val="000000"/>
                <w:sz w:val="20"/>
                <w:szCs w:val="20"/>
              </w:rPr>
              <w:t>56.401.125,00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Suplementares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915EB9" w:rsidRPr="00915EB9">
              <w:rPr>
                <w:rFonts w:eastAsia="Times New Roman"/>
                <w:color w:val="000000"/>
                <w:sz w:val="20"/>
                <w:szCs w:val="20"/>
              </w:rPr>
              <w:t>27.425.265,00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4016CB" w:rsidRPr="004016CB">
              <w:rPr>
                <w:rFonts w:eastAsia="Times New Roman"/>
                <w:color w:val="000000"/>
                <w:sz w:val="20"/>
                <w:szCs w:val="20"/>
              </w:rPr>
              <w:t>8.287.502,00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Especiais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Extraordinários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 Cancelados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915EB9" w:rsidRPr="00915EB9">
              <w:rPr>
                <w:rFonts w:eastAsia="Times New Roman"/>
                <w:color w:val="000000"/>
                <w:sz w:val="20"/>
                <w:szCs w:val="20"/>
              </w:rPr>
              <w:t>-12.305,00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4016CB" w:rsidRPr="004016CB">
              <w:rPr>
                <w:rFonts w:eastAsia="Times New Roman"/>
                <w:color w:val="000000"/>
                <w:sz w:val="20"/>
                <w:szCs w:val="20"/>
              </w:rPr>
              <w:t>-356.316,00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Outras Operações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2013 (A)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915EB9" w:rsidRPr="00915EB9">
              <w:rPr>
                <w:rFonts w:eastAsia="Times New Roman"/>
                <w:color w:val="000000"/>
                <w:sz w:val="20"/>
                <w:szCs w:val="20"/>
              </w:rPr>
              <w:t>121.104.439,00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4016CB" w:rsidRPr="004016CB">
              <w:rPr>
                <w:rFonts w:eastAsia="Times New Roman"/>
                <w:color w:val="000000"/>
                <w:sz w:val="20"/>
                <w:szCs w:val="20"/>
              </w:rPr>
              <w:t>64.332.311,00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2012(B)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Variação (B/A-1</w:t>
            </w:r>
            <w:proofErr w:type="gramStart"/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  <w:proofErr w:type="gramEnd"/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*100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Origem dos Créditos Orçamentários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 Capital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 xml:space="preserve">9 - </w:t>
            </w:r>
            <w:proofErr w:type="gramStart"/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Reserva</w:t>
            </w:r>
            <w:proofErr w:type="gramEnd"/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 xml:space="preserve"> de</w:t>
            </w:r>
            <w:r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Contingência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0364F" w:rsidRPr="00C64B2F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 xml:space="preserve">4 – </w:t>
            </w:r>
            <w:proofErr w:type="spellStart"/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Investimen</w:t>
            </w:r>
            <w:proofErr w:type="spellEnd"/>
          </w:p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proofErr w:type="spellStart"/>
            <w:proofErr w:type="gramStart"/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tos</w:t>
            </w:r>
            <w:proofErr w:type="spellEnd"/>
            <w:proofErr w:type="gram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5 – Inversões Financeiras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proofErr w:type="gramStart"/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6- Amortização</w:t>
            </w:r>
            <w:proofErr w:type="gramEnd"/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 xml:space="preserve"> da Dívida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NICIAL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E66667" w:rsidRPr="00E66667">
              <w:rPr>
                <w:rFonts w:eastAsia="Times New Roman"/>
                <w:color w:val="000000"/>
                <w:sz w:val="20"/>
                <w:szCs w:val="20"/>
              </w:rPr>
              <w:t>49.922.227,00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Suplementares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E66667" w:rsidRPr="00E66667">
              <w:rPr>
                <w:rFonts w:eastAsia="Times New Roman"/>
                <w:color w:val="000000"/>
                <w:sz w:val="20"/>
                <w:szCs w:val="20"/>
              </w:rPr>
              <w:t>13.331,00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E66667" w:rsidRPr="00E66667"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Especiais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Extraordinários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E66667" w:rsidRPr="00E66667">
              <w:rPr>
                <w:rFonts w:eastAsia="Times New Roman"/>
                <w:color w:val="000000"/>
                <w:sz w:val="20"/>
                <w:szCs w:val="20"/>
              </w:rPr>
              <w:t>16.040.743,00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 Cancelados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E66667" w:rsidRPr="00E66667">
              <w:rPr>
                <w:rFonts w:eastAsia="Times New Roman"/>
                <w:color w:val="000000"/>
                <w:sz w:val="20"/>
                <w:szCs w:val="20"/>
              </w:rPr>
              <w:t>-16.040.743,00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Outras Operações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2013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E66667" w:rsidRPr="00E66667">
              <w:rPr>
                <w:rFonts w:eastAsia="Times New Roman"/>
                <w:color w:val="000000"/>
                <w:sz w:val="20"/>
                <w:szCs w:val="20"/>
              </w:rPr>
              <w:t>33.894.815,00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E66667" w:rsidRPr="00E66667"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2012(B)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364F" w:rsidRPr="00D14389" w:rsidTr="00F108BD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364F" w:rsidRPr="00D14389" w:rsidRDefault="0050364F" w:rsidP="00F108B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Variação (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-1</w:t>
            </w:r>
            <w:proofErr w:type="gramStart"/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  <w:proofErr w:type="gramEnd"/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4F" w:rsidRPr="00D14389" w:rsidRDefault="0050364F" w:rsidP="00F108B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64ED" w:rsidRDefault="00AE64ED"/>
    <w:p w:rsidR="0050364F" w:rsidRDefault="0050364F" w:rsidP="0050364F">
      <w:pPr>
        <w:tabs>
          <w:tab w:val="left" w:pos="3119"/>
        </w:tabs>
        <w:spacing w:before="120" w:after="120"/>
        <w:jc w:val="both"/>
      </w:pPr>
      <w:r>
        <w:t>A</w:t>
      </w:r>
      <w:r w:rsidRPr="00B8051D">
        <w:t xml:space="preserve"> UJ deverá proceder a uma análise crítica da programação orçamentária, originária e adicional, </w:t>
      </w:r>
      <w:r>
        <w:t>considerando os seguintes aspectos</w:t>
      </w:r>
      <w:r w:rsidRPr="00B8051D">
        <w:t>:</w:t>
      </w:r>
    </w:p>
    <w:p w:rsidR="0050364F" w:rsidRDefault="0050364F" w:rsidP="0050364F">
      <w:pPr>
        <w:pStyle w:val="PargrafodaLista"/>
        <w:tabs>
          <w:tab w:val="left" w:pos="709"/>
        </w:tabs>
        <w:spacing w:before="120" w:after="120"/>
        <w:ind w:left="72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Pr="009B0AA1">
        <w:rPr>
          <w:b/>
        </w:rPr>
        <w:t xml:space="preserve"> Compatibilidade das dotações com as necessidades da UJ:</w:t>
      </w:r>
      <w:r w:rsidRPr="005636B5">
        <w:t xml:space="preserve"> </w:t>
      </w:r>
      <w:r>
        <w:t>Exame d</w:t>
      </w:r>
      <w:r w:rsidRPr="005636B5">
        <w:t>a compatibilidade d</w:t>
      </w:r>
      <w:r>
        <w:t>as dotações orçamentárias</w:t>
      </w:r>
      <w:r w:rsidRPr="005636B5">
        <w:t xml:space="preserve"> em relação às necessidades de crédito da UJ para cumprimento da sua programação de trabalho</w:t>
      </w:r>
      <w:r>
        <w:t xml:space="preserve">, evidenciando eventuais alterações da proposta originária da UJ no âmbito do próprio Poder Executivo ou do Congresso Nacional, bem como </w:t>
      </w:r>
      <w:r w:rsidRPr="009B0AA1">
        <w:t>alterações relevantes ocorridas nas dotações do exercício em relação às dotações do exercício anterior</w:t>
      </w:r>
      <w:r>
        <w:t>.</w:t>
      </w:r>
    </w:p>
    <w:p w:rsidR="0050364F" w:rsidRDefault="0050364F" w:rsidP="0050364F">
      <w:pPr>
        <w:tabs>
          <w:tab w:val="left" w:pos="3119"/>
        </w:tabs>
        <w:spacing w:before="120" w:after="120"/>
        <w:ind w:left="737"/>
        <w:jc w:val="both"/>
      </w:pPr>
      <w:r w:rsidRPr="00621FCE">
        <w:t xml:space="preserve">Além dessas questões, o gestor poderá apresentar outras informações e ponderações sobre as dificuldades e oportunidades surgidas durante o exercício, entre as quais a abertura de créditos adicionais, os cancelamentos de créditos e solicitações de créditos adicionais não atendidas </w:t>
      </w:r>
      <w:r>
        <w:t xml:space="preserve">ou atendidas em prazos extemporâneos </w:t>
      </w:r>
      <w:r w:rsidRPr="00621FCE">
        <w:t>que afetaram os processos de gestão orçamentária da UJ.</w:t>
      </w:r>
    </w:p>
    <w:p w:rsidR="0050364F" w:rsidRDefault="0050364F" w:rsidP="0050364F">
      <w:pPr>
        <w:tabs>
          <w:tab w:val="left" w:pos="3119"/>
        </w:tabs>
        <w:spacing w:before="120" w:after="120"/>
        <w:ind w:left="737"/>
        <w:jc w:val="both"/>
        <w:rPr>
          <w:color w:val="FF0000"/>
        </w:rPr>
      </w:pPr>
      <w:r w:rsidRPr="0050364F">
        <w:rPr>
          <w:color w:val="FF0000"/>
        </w:rPr>
        <w:t>RESPOSTA</w:t>
      </w:r>
      <w:r>
        <w:rPr>
          <w:color w:val="FF0000"/>
        </w:rPr>
        <w:t xml:space="preserve">: </w:t>
      </w:r>
    </w:p>
    <w:p w:rsidR="0050364F" w:rsidRPr="0050364F" w:rsidRDefault="0050364F" w:rsidP="0050364F">
      <w:pPr>
        <w:tabs>
          <w:tab w:val="left" w:pos="3119"/>
        </w:tabs>
        <w:spacing w:before="120" w:after="120"/>
        <w:ind w:left="737"/>
        <w:jc w:val="both"/>
        <w:rPr>
          <w:color w:val="0070C0"/>
        </w:rPr>
      </w:pPr>
      <w:r w:rsidRPr="0050364F">
        <w:rPr>
          <w:color w:val="0070C0"/>
        </w:rPr>
        <w:t>XXXX</w:t>
      </w:r>
    </w:p>
    <w:p w:rsidR="0050364F" w:rsidRDefault="0050364F" w:rsidP="0050364F">
      <w:pPr>
        <w:pStyle w:val="PargrafodaLista"/>
        <w:tabs>
          <w:tab w:val="left" w:pos="709"/>
        </w:tabs>
        <w:spacing w:before="120" w:after="120"/>
        <w:ind w:left="72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b/>
        </w:rPr>
        <w:t xml:space="preserve">Créditos extraordinários: </w:t>
      </w:r>
      <w:r w:rsidRPr="00630789">
        <w:t>Razões para proposição de abertura de créditos extraordinários, caso realizadas no exercício,</w:t>
      </w:r>
      <w:r>
        <w:t xml:space="preserve"> registrando os aspectos indicados quando de sua solicitação para satisfação dos pressupostos constitucionais de imprevisibilidade e de urgência.</w:t>
      </w:r>
    </w:p>
    <w:p w:rsidR="0050364F" w:rsidRDefault="0050364F" w:rsidP="0050364F">
      <w:pPr>
        <w:tabs>
          <w:tab w:val="left" w:pos="3119"/>
        </w:tabs>
        <w:spacing w:before="120" w:after="120"/>
        <w:ind w:left="737"/>
        <w:jc w:val="both"/>
        <w:rPr>
          <w:color w:val="FF0000"/>
        </w:rPr>
      </w:pPr>
      <w:r w:rsidRPr="0050364F">
        <w:rPr>
          <w:color w:val="FF0000"/>
        </w:rPr>
        <w:t>RESPOSTA</w:t>
      </w:r>
      <w:r>
        <w:rPr>
          <w:color w:val="FF0000"/>
        </w:rPr>
        <w:t xml:space="preserve">: </w:t>
      </w:r>
    </w:p>
    <w:p w:rsidR="0050364F" w:rsidRDefault="0050364F" w:rsidP="0080782E">
      <w:pPr>
        <w:tabs>
          <w:tab w:val="left" w:pos="3119"/>
        </w:tabs>
        <w:spacing w:before="120" w:after="120"/>
        <w:ind w:left="737"/>
        <w:jc w:val="both"/>
      </w:pPr>
      <w:r>
        <w:rPr>
          <w:color w:val="0070C0"/>
        </w:rPr>
        <w:t>XXXXX</w:t>
      </w:r>
    </w:p>
    <w:sectPr w:rsidR="0050364F" w:rsidSect="00D64904">
      <w:pgSz w:w="11906" w:h="16838" w:code="9"/>
      <w:pgMar w:top="1276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4F"/>
    <w:rsid w:val="004016CB"/>
    <w:rsid w:val="0050364F"/>
    <w:rsid w:val="0080782E"/>
    <w:rsid w:val="00915EB9"/>
    <w:rsid w:val="00AE64ED"/>
    <w:rsid w:val="00D64904"/>
    <w:rsid w:val="00E6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364F"/>
    <w:pPr>
      <w:autoSpaceDE/>
      <w:autoSpaceDN/>
      <w:adjustRightInd/>
      <w:ind w:left="708"/>
      <w:jc w:val="both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364F"/>
    <w:pPr>
      <w:autoSpaceDE/>
      <w:autoSpaceDN/>
      <w:adjustRightInd/>
      <w:ind w:left="708"/>
      <w:jc w:val="both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</dc:creator>
  <cp:lastModifiedBy>PROAD</cp:lastModifiedBy>
  <cp:revision>4</cp:revision>
  <dcterms:created xsi:type="dcterms:W3CDTF">2014-02-11T15:20:00Z</dcterms:created>
  <dcterms:modified xsi:type="dcterms:W3CDTF">2014-02-11T17:30:00Z</dcterms:modified>
</cp:coreProperties>
</file>