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14" w:rsidRDefault="001C1A14" w:rsidP="001C1A14">
      <w:pPr>
        <w:autoSpaceDE w:val="0"/>
        <w:autoSpaceDN w:val="0"/>
        <w:adjustRightInd w:val="0"/>
        <w:spacing w:before="45" w:after="45" w:line="246" w:lineRule="auto"/>
        <w:rPr>
          <w:color w:val="FF0000"/>
        </w:rPr>
      </w:pPr>
    </w:p>
    <w:p w:rsidR="001C1A14" w:rsidRDefault="001C1A14" w:rsidP="001C1A14">
      <w:pPr>
        <w:pStyle w:val="Ttulo1"/>
        <w:numPr>
          <w:ilvl w:val="0"/>
          <w:numId w:val="1"/>
        </w:numPr>
        <w:rPr>
          <w:lang w:val="pt-BR"/>
        </w:rPr>
      </w:pPr>
      <w:r w:rsidRPr="00CE7F41">
        <w:t>TÓPICOS ESPECIAIS DA EXECUÇÃO ORÇAMENTÁRIA E FINANCEIRA</w:t>
      </w:r>
    </w:p>
    <w:p w:rsidR="001C1A14" w:rsidRDefault="001C1A14" w:rsidP="001C1A14">
      <w:pPr>
        <w:rPr>
          <w:lang w:eastAsia="x-none"/>
        </w:rPr>
      </w:pPr>
    </w:p>
    <w:p w:rsidR="001C1A14" w:rsidRDefault="001C1A14" w:rsidP="001C1A14">
      <w:pPr>
        <w:numPr>
          <w:ilvl w:val="1"/>
          <w:numId w:val="2"/>
        </w:numPr>
        <w:spacing w:before="120" w:after="90"/>
        <w:ind w:left="567" w:hanging="567"/>
        <w:rPr>
          <w:b/>
        </w:rPr>
      </w:pPr>
      <w:r w:rsidRPr="003C7EA7">
        <w:rPr>
          <w:b/>
          <w:lang w:eastAsia="x-none"/>
        </w:rPr>
        <w:t xml:space="preserve"> </w:t>
      </w:r>
      <w:r w:rsidRPr="003C7EA7">
        <w:rPr>
          <w:b/>
        </w:rPr>
        <w:t>Pagamentos e Cancelamentos de Restos a Pagar de Exercícios Anteriores</w:t>
      </w:r>
    </w:p>
    <w:p w:rsidR="001C1A14" w:rsidRDefault="001C1A14" w:rsidP="001C1A14">
      <w:pPr>
        <w:spacing w:before="120" w:after="90"/>
        <w:ind w:firstLine="709"/>
      </w:pPr>
      <w:r>
        <w:t xml:space="preserve">Este item apresenta as informações quantitativas sobre o pagamento de Restos a Pagar dos exercícios anteriores, de modo a demonstrar os impactos dessas despesas financeiras no exercício em questão. </w:t>
      </w:r>
    </w:p>
    <w:p w:rsidR="001C1A14" w:rsidRPr="00CE7F41" w:rsidRDefault="001C1A14" w:rsidP="001C1A14">
      <w:pPr>
        <w:spacing w:before="120" w:after="90"/>
        <w:ind w:firstLine="851"/>
        <w:rPr>
          <w:color w:val="FF0000"/>
        </w:rPr>
      </w:pPr>
    </w:p>
    <w:p w:rsidR="001C1A14" w:rsidRPr="00D42807" w:rsidRDefault="001C1A14" w:rsidP="001C1A14">
      <w:pPr>
        <w:numPr>
          <w:ilvl w:val="2"/>
          <w:numId w:val="2"/>
        </w:numPr>
        <w:tabs>
          <w:tab w:val="left" w:pos="426"/>
        </w:tabs>
        <w:spacing w:before="120" w:after="90"/>
        <w:ind w:left="709" w:hanging="709"/>
        <w:rPr>
          <w:b/>
          <w:i/>
        </w:rPr>
      </w:pPr>
      <w:r w:rsidRPr="00D42807">
        <w:rPr>
          <w:b/>
          <w:i/>
        </w:rPr>
        <w:t>Pagamentos e Cancelamentos de Restos a Pagar de Exercícios Anteriores</w:t>
      </w:r>
    </w:p>
    <w:p w:rsidR="001C1A14" w:rsidRDefault="001C1A14" w:rsidP="001C1A14">
      <w:pPr>
        <w:tabs>
          <w:tab w:val="left" w:pos="426"/>
        </w:tabs>
        <w:spacing w:before="120" w:after="90"/>
        <w:rPr>
          <w:b/>
        </w:rPr>
      </w:pPr>
    </w:p>
    <w:p w:rsidR="001C1A14" w:rsidRDefault="001C1A14" w:rsidP="001C1A14">
      <w:pPr>
        <w:tabs>
          <w:tab w:val="left" w:pos="3119"/>
        </w:tabs>
        <w:spacing w:before="120" w:after="90"/>
        <w:ind w:firstLine="709"/>
      </w:pPr>
      <w:r>
        <w:t xml:space="preserve">O quadro abaixo contempla o montante de restos a pagar de exercícios anteriores inscritos e os respectivos valores cancelados e pagos acumulados até o final do exercício de 2012. </w:t>
      </w:r>
    </w:p>
    <w:p w:rsidR="00FA195F" w:rsidRDefault="00FA195F" w:rsidP="00FA195F">
      <w:pPr>
        <w:tabs>
          <w:tab w:val="left" w:pos="3119"/>
        </w:tabs>
        <w:spacing w:before="120" w:after="9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"C:\\Users\\Usuario\\Desktop\\vivi.xlsx" "Plan1!L1C1:L17C15" \a \f 4 \h  \* MERGEFORMAT </w:instrText>
      </w:r>
      <w:r>
        <w:fldChar w:fldCharType="separate"/>
      </w:r>
      <w:bookmarkStart w:id="0" w:name="RANGE!B1"/>
    </w:p>
    <w:tbl>
      <w:tblPr>
        <w:tblW w:w="129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"/>
        <w:gridCol w:w="28"/>
        <w:gridCol w:w="1287"/>
        <w:gridCol w:w="315"/>
        <w:gridCol w:w="2375"/>
        <w:gridCol w:w="160"/>
        <w:gridCol w:w="507"/>
        <w:gridCol w:w="1034"/>
        <w:gridCol w:w="1130"/>
        <w:gridCol w:w="160"/>
        <w:gridCol w:w="39"/>
        <w:gridCol w:w="372"/>
        <w:gridCol w:w="44"/>
        <w:gridCol w:w="1738"/>
        <w:gridCol w:w="160"/>
        <w:gridCol w:w="202"/>
        <w:gridCol w:w="118"/>
        <w:gridCol w:w="819"/>
        <w:gridCol w:w="2009"/>
        <w:gridCol w:w="507"/>
      </w:tblGrid>
      <w:tr w:rsidR="00FA195F" w:rsidRPr="00FA195F" w:rsidTr="00FA195F">
        <w:trPr>
          <w:gridBefore w:val="2"/>
          <w:gridAfter w:val="4"/>
          <w:wBefore w:w="158" w:type="dxa"/>
          <w:wAfter w:w="3453" w:type="dxa"/>
          <w:trHeight w:val="306"/>
        </w:trPr>
        <w:tc>
          <w:tcPr>
            <w:tcW w:w="684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A195F">
              <w:rPr>
                <w:rFonts w:eastAsia="Times New Roman"/>
                <w:color w:val="000000"/>
                <w:sz w:val="20"/>
                <w:szCs w:val="20"/>
              </w:rPr>
              <w:t>Quadro 21 - Situação dos Restos a Pagar de exercícios anteriores</w:t>
            </w:r>
            <w:bookmarkEnd w:id="0"/>
          </w:p>
        </w:tc>
        <w:tc>
          <w:tcPr>
            <w:tcW w:w="251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A195F">
              <w:rPr>
                <w:rFonts w:eastAsia="Times New Roman"/>
                <w:bCs/>
                <w:color w:val="000000"/>
                <w:sz w:val="16"/>
              </w:rPr>
              <w:t>Valores em R$ 1,00</w:t>
            </w:r>
          </w:p>
        </w:tc>
      </w:tr>
      <w:tr w:rsidR="00FA195F" w:rsidRPr="00FA195F" w:rsidTr="00FA195F">
        <w:trPr>
          <w:gridBefore w:val="2"/>
          <w:gridAfter w:val="4"/>
          <w:wBefore w:w="158" w:type="dxa"/>
          <w:wAfter w:w="3453" w:type="dxa"/>
          <w:trHeight w:val="306"/>
        </w:trPr>
        <w:tc>
          <w:tcPr>
            <w:tcW w:w="9357" w:type="dxa"/>
            <w:gridSpan w:val="14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95F">
              <w:rPr>
                <w:rFonts w:eastAsia="Times New Roman"/>
                <w:b/>
                <w:bCs/>
                <w:sz w:val="20"/>
              </w:rPr>
              <w:t>Restos a Pagar Processados</w:t>
            </w:r>
          </w:p>
        </w:tc>
      </w:tr>
      <w:tr w:rsidR="00FA195F" w:rsidRPr="00FA195F" w:rsidTr="00FA195F">
        <w:trPr>
          <w:gridBefore w:val="2"/>
          <w:gridAfter w:val="4"/>
          <w:wBefore w:w="158" w:type="dxa"/>
          <w:wAfter w:w="3453" w:type="dxa"/>
          <w:trHeight w:val="486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95F">
              <w:rPr>
                <w:rFonts w:eastAsia="Times New Roman"/>
                <w:b/>
                <w:bCs/>
                <w:sz w:val="20"/>
              </w:rPr>
              <w:t>Ano de Inscrição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95F">
              <w:rPr>
                <w:rFonts w:eastAsia="Times New Roman"/>
                <w:b/>
                <w:bCs/>
                <w:sz w:val="20"/>
              </w:rPr>
              <w:t>Montante Inscrito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95F">
              <w:rPr>
                <w:rFonts w:eastAsia="Times New Roman"/>
                <w:b/>
                <w:bCs/>
                <w:sz w:val="20"/>
              </w:rPr>
              <w:t>Cancelamentos Acumulados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95F">
              <w:rPr>
                <w:rFonts w:eastAsia="Times New Roman"/>
                <w:b/>
                <w:bCs/>
                <w:sz w:val="20"/>
              </w:rPr>
              <w:t>Pagamentos Acumulados</w:t>
            </w:r>
          </w:p>
        </w:tc>
        <w:tc>
          <w:tcPr>
            <w:tcW w:w="21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95F">
              <w:rPr>
                <w:rFonts w:eastAsia="Times New Roman"/>
                <w:b/>
                <w:bCs/>
                <w:sz w:val="20"/>
              </w:rPr>
              <w:t>Saldo a Pagar em 31/12/2013</w:t>
            </w:r>
          </w:p>
        </w:tc>
      </w:tr>
      <w:tr w:rsidR="00FA195F" w:rsidRPr="00FA195F" w:rsidTr="00FA195F">
        <w:trPr>
          <w:gridAfter w:val="4"/>
          <w:wAfter w:w="3453" w:type="dxa"/>
          <w:trHeight w:val="306"/>
        </w:trPr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rPr>
                <w:rFonts w:eastAsia="Times New Roman"/>
              </w:rPr>
            </w:pP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  <w:szCs w:val="20"/>
              </w:rPr>
              <w:t>2012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  <w:szCs w:val="20"/>
              </w:rPr>
              <w:t>2.596.544,67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  <w:szCs w:val="20"/>
              </w:rPr>
              <w:t>20.023,66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  <w:szCs w:val="20"/>
              </w:rPr>
              <w:t>2.480.359,04</w:t>
            </w:r>
          </w:p>
        </w:tc>
        <w:tc>
          <w:tcPr>
            <w:tcW w:w="21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  <w:szCs w:val="20"/>
              </w:rPr>
              <w:t>96.161,97</w:t>
            </w:r>
          </w:p>
        </w:tc>
      </w:tr>
      <w:tr w:rsidR="00FA195F" w:rsidRPr="00FA195F" w:rsidTr="00FA195F">
        <w:trPr>
          <w:gridBefore w:val="2"/>
          <w:gridAfter w:val="4"/>
          <w:wBefore w:w="158" w:type="dxa"/>
          <w:wAfter w:w="3453" w:type="dxa"/>
          <w:trHeight w:val="306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</w:rPr>
              <w:t>2011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  <w:szCs w:val="20"/>
              </w:rPr>
              <w:t>142.456,17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  <w:szCs w:val="20"/>
              </w:rPr>
              <w:t>2.851,92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  <w:szCs w:val="20"/>
              </w:rPr>
              <w:t>90.655,95</w:t>
            </w:r>
          </w:p>
        </w:tc>
        <w:tc>
          <w:tcPr>
            <w:tcW w:w="21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  <w:szCs w:val="20"/>
              </w:rPr>
              <w:t>48.948,30</w:t>
            </w:r>
          </w:p>
        </w:tc>
      </w:tr>
      <w:tr w:rsidR="00FA195F" w:rsidRPr="00FA195F" w:rsidTr="00FA195F">
        <w:trPr>
          <w:gridBefore w:val="2"/>
          <w:gridAfter w:val="4"/>
          <w:wBefore w:w="158" w:type="dxa"/>
          <w:wAfter w:w="3453" w:type="dxa"/>
          <w:trHeight w:val="306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</w:rPr>
              <w:t>2010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  <w:szCs w:val="20"/>
              </w:rPr>
              <w:t>20.223,65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  <w:szCs w:val="20"/>
              </w:rPr>
              <w:t>20.223,65</w:t>
            </w:r>
          </w:p>
        </w:tc>
      </w:tr>
      <w:tr w:rsidR="00FA195F" w:rsidRPr="00FA195F" w:rsidTr="00FA195F">
        <w:trPr>
          <w:gridAfter w:val="4"/>
          <w:wAfter w:w="3453" w:type="dxa"/>
          <w:trHeight w:val="306"/>
        </w:trPr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rPr>
                <w:rFonts w:eastAsia="Times New Roman"/>
              </w:rPr>
            </w:pP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</w:rPr>
              <w:t>2009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  <w:szCs w:val="20"/>
              </w:rPr>
              <w:t>5.844,05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  <w:szCs w:val="20"/>
              </w:rPr>
              <w:t>5.844,05</w:t>
            </w:r>
          </w:p>
        </w:tc>
      </w:tr>
      <w:tr w:rsidR="00FA195F" w:rsidRPr="00FA195F" w:rsidTr="00FA195F">
        <w:trPr>
          <w:gridAfter w:val="4"/>
          <w:wAfter w:w="3453" w:type="dxa"/>
          <w:trHeight w:val="306"/>
        </w:trPr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rPr>
                <w:rFonts w:eastAsia="Times New Roman"/>
              </w:rPr>
            </w:pP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  <w:szCs w:val="20"/>
              </w:rPr>
              <w:t>2008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  <w:szCs w:val="20"/>
              </w:rPr>
              <w:t>1.444,60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  <w:szCs w:val="20"/>
              </w:rPr>
              <w:t>1.444,60</w:t>
            </w:r>
          </w:p>
        </w:tc>
      </w:tr>
      <w:tr w:rsidR="00FA195F" w:rsidRPr="00FA195F" w:rsidTr="00FA195F">
        <w:trPr>
          <w:gridAfter w:val="4"/>
          <w:wAfter w:w="3453" w:type="dxa"/>
          <w:trHeight w:val="306"/>
        </w:trPr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rPr>
                <w:rFonts w:eastAsia="Times New Roman"/>
              </w:rPr>
            </w:pP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  <w:szCs w:val="20"/>
              </w:rPr>
              <w:t>2007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  <w:szCs w:val="20"/>
              </w:rPr>
              <w:t>30,00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  <w:szCs w:val="20"/>
              </w:rPr>
              <w:t>30,00</w:t>
            </w:r>
          </w:p>
        </w:tc>
      </w:tr>
      <w:tr w:rsidR="00FA195F" w:rsidRPr="00FA195F" w:rsidTr="00FA195F">
        <w:trPr>
          <w:gridBefore w:val="2"/>
          <w:gridAfter w:val="4"/>
          <w:wBefore w:w="158" w:type="dxa"/>
          <w:wAfter w:w="3453" w:type="dxa"/>
          <w:trHeight w:val="306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  <w:szCs w:val="20"/>
              </w:rPr>
              <w:t>2006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  <w:szCs w:val="20"/>
              </w:rPr>
              <w:t>6.229,85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  <w:szCs w:val="20"/>
              </w:rPr>
              <w:t>6.229,85</w:t>
            </w:r>
          </w:p>
        </w:tc>
      </w:tr>
      <w:tr w:rsidR="00FA195F" w:rsidRPr="00FA195F" w:rsidTr="00FA195F">
        <w:trPr>
          <w:gridBefore w:val="2"/>
          <w:gridAfter w:val="4"/>
          <w:wBefore w:w="158" w:type="dxa"/>
          <w:wAfter w:w="3453" w:type="dxa"/>
          <w:trHeight w:val="486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95F">
              <w:rPr>
                <w:rFonts w:eastAsia="Times New Roman"/>
                <w:b/>
                <w:bCs/>
                <w:sz w:val="20"/>
              </w:rPr>
              <w:t>Ano de Inscrição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95F">
              <w:rPr>
                <w:rFonts w:eastAsia="Times New Roman"/>
                <w:b/>
                <w:bCs/>
                <w:sz w:val="20"/>
              </w:rPr>
              <w:t>Montante Inscrito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95F">
              <w:rPr>
                <w:rFonts w:eastAsia="Times New Roman"/>
                <w:b/>
                <w:bCs/>
                <w:sz w:val="20"/>
              </w:rPr>
              <w:t>Cancelamentos Acumulados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95F">
              <w:rPr>
                <w:rFonts w:eastAsia="Times New Roman"/>
                <w:b/>
                <w:bCs/>
                <w:sz w:val="20"/>
              </w:rPr>
              <w:t>Pagamentos Acumulados</w:t>
            </w:r>
          </w:p>
        </w:tc>
        <w:tc>
          <w:tcPr>
            <w:tcW w:w="21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95F">
              <w:rPr>
                <w:rFonts w:eastAsia="Times New Roman"/>
                <w:b/>
                <w:bCs/>
                <w:sz w:val="20"/>
              </w:rPr>
              <w:t>Saldo a Pagar em 31/12/2013</w:t>
            </w:r>
          </w:p>
        </w:tc>
      </w:tr>
      <w:tr w:rsidR="00FA195F" w:rsidRPr="00FA195F" w:rsidTr="00FA195F">
        <w:trPr>
          <w:gridAfter w:val="4"/>
          <w:wAfter w:w="3453" w:type="dxa"/>
          <w:trHeight w:val="306"/>
        </w:trPr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rPr>
                <w:rFonts w:eastAsia="Times New Roman"/>
              </w:rPr>
            </w:pP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  <w:szCs w:val="20"/>
              </w:rPr>
              <w:t>2012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  <w:szCs w:val="20"/>
              </w:rPr>
              <w:t>18.245.236,43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  <w:szCs w:val="20"/>
              </w:rPr>
              <w:t>489.892,92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  <w:szCs w:val="20"/>
              </w:rPr>
              <w:t>13.897.935,66</w:t>
            </w:r>
          </w:p>
        </w:tc>
        <w:tc>
          <w:tcPr>
            <w:tcW w:w="21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  <w:szCs w:val="20"/>
              </w:rPr>
              <w:t>3.857.407,85</w:t>
            </w:r>
          </w:p>
        </w:tc>
      </w:tr>
      <w:tr w:rsidR="00FA195F" w:rsidRPr="00FA195F" w:rsidTr="00FA195F">
        <w:trPr>
          <w:gridBefore w:val="2"/>
          <w:gridAfter w:val="4"/>
          <w:wBefore w:w="158" w:type="dxa"/>
          <w:wAfter w:w="3453" w:type="dxa"/>
          <w:trHeight w:val="306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</w:rPr>
              <w:t>2011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  <w:szCs w:val="20"/>
              </w:rPr>
              <w:t>2.730.783,86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  <w:szCs w:val="20"/>
              </w:rPr>
              <w:t>241.338,04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  <w:szCs w:val="20"/>
              </w:rPr>
              <w:t>1.030.089,59</w:t>
            </w:r>
          </w:p>
        </w:tc>
        <w:tc>
          <w:tcPr>
            <w:tcW w:w="21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  <w:szCs w:val="20"/>
              </w:rPr>
              <w:t>1.459.356,23</w:t>
            </w:r>
          </w:p>
        </w:tc>
      </w:tr>
      <w:tr w:rsidR="00FA195F" w:rsidRPr="00FA195F" w:rsidTr="00FA195F">
        <w:trPr>
          <w:gridBefore w:val="2"/>
          <w:gridAfter w:val="4"/>
          <w:wBefore w:w="158" w:type="dxa"/>
          <w:wAfter w:w="3453" w:type="dxa"/>
          <w:trHeight w:val="306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</w:rPr>
              <w:t>2010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  <w:szCs w:val="20"/>
              </w:rPr>
              <w:t>386.046,04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  <w:szCs w:val="20"/>
              </w:rPr>
              <w:t>20.086,66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  <w:szCs w:val="20"/>
              </w:rPr>
              <w:t>22.937,30</w:t>
            </w:r>
          </w:p>
        </w:tc>
        <w:tc>
          <w:tcPr>
            <w:tcW w:w="21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  <w:szCs w:val="20"/>
              </w:rPr>
              <w:t>343.022,08</w:t>
            </w:r>
          </w:p>
        </w:tc>
      </w:tr>
      <w:tr w:rsidR="00FA195F" w:rsidRPr="00FA195F" w:rsidTr="00FA195F">
        <w:trPr>
          <w:gridBefore w:val="2"/>
          <w:gridAfter w:val="4"/>
          <w:wBefore w:w="158" w:type="dxa"/>
          <w:wAfter w:w="3453" w:type="dxa"/>
          <w:trHeight w:val="306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</w:rPr>
              <w:t>2009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  <w:szCs w:val="20"/>
              </w:rPr>
              <w:t>239.382,13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95F" w:rsidRPr="00FA195F" w:rsidRDefault="00FA195F" w:rsidP="00FA19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95F">
              <w:rPr>
                <w:rFonts w:eastAsia="Times New Roman"/>
                <w:sz w:val="20"/>
                <w:szCs w:val="20"/>
              </w:rPr>
              <w:t>239.382,13</w:t>
            </w:r>
          </w:p>
        </w:tc>
      </w:tr>
      <w:tr w:rsidR="00FA195F" w:rsidRPr="00FA195F" w:rsidTr="00FA195F">
        <w:trPr>
          <w:trHeight w:val="236"/>
        </w:trPr>
        <w:tc>
          <w:tcPr>
            <w:tcW w:w="1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195F" w:rsidRPr="00FA195F" w:rsidRDefault="00FA195F" w:rsidP="00FA195F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</w:rPr>
              <w:t>Fonte:</w:t>
            </w:r>
            <w:proofErr w:type="gramEnd"/>
            <w:r w:rsidRPr="00FA195F">
              <w:rPr>
                <w:rFonts w:eastAsia="Times New Roman"/>
                <w:color w:val="000000"/>
                <w:sz w:val="20"/>
              </w:rPr>
              <w:t>SiafiGerencial</w:t>
            </w:r>
            <w:proofErr w:type="spellEnd"/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95F" w:rsidRPr="00FA195F" w:rsidRDefault="00FA195F" w:rsidP="00FA195F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95F" w:rsidRPr="00FA195F" w:rsidRDefault="00FA195F" w:rsidP="00FA195F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95F" w:rsidRPr="00FA195F" w:rsidRDefault="00FA195F" w:rsidP="00FA195F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95F" w:rsidRPr="00FA195F" w:rsidRDefault="00FA195F" w:rsidP="00FA195F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95F" w:rsidRPr="00FA195F" w:rsidRDefault="00FA195F" w:rsidP="00FA195F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95F" w:rsidRPr="00FA195F" w:rsidRDefault="00FA195F" w:rsidP="00FA195F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95F" w:rsidRPr="00FA195F" w:rsidRDefault="00FA195F" w:rsidP="00FA195F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95F" w:rsidRPr="00FA195F" w:rsidRDefault="00FA195F" w:rsidP="00FA195F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95F" w:rsidRPr="00FA195F" w:rsidRDefault="00FA195F" w:rsidP="00FA195F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95F" w:rsidRPr="00FA195F" w:rsidRDefault="00FA195F" w:rsidP="00FA195F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95F" w:rsidRPr="00FA195F" w:rsidRDefault="00FA195F" w:rsidP="00FA195F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95F" w:rsidRPr="00FA195F" w:rsidRDefault="00FA195F" w:rsidP="00FA195F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A195F" w:rsidRDefault="00FA195F" w:rsidP="00FA195F">
      <w:pPr>
        <w:tabs>
          <w:tab w:val="left" w:pos="3119"/>
        </w:tabs>
        <w:spacing w:before="120" w:after="90"/>
      </w:pPr>
      <w:r>
        <w:fldChar w:fldCharType="end"/>
      </w:r>
    </w:p>
    <w:p w:rsidR="00FA195F" w:rsidRDefault="00FA195F" w:rsidP="001C1A14">
      <w:pPr>
        <w:tabs>
          <w:tab w:val="left" w:pos="3119"/>
        </w:tabs>
        <w:spacing w:before="120" w:after="90"/>
        <w:ind w:firstLine="709"/>
      </w:pPr>
      <w:bookmarkStart w:id="1" w:name="_GoBack"/>
      <w:bookmarkEnd w:id="1"/>
    </w:p>
    <w:p w:rsidR="001C1A14" w:rsidRDefault="001C1A14" w:rsidP="001C1A14">
      <w:pPr>
        <w:numPr>
          <w:ilvl w:val="2"/>
          <w:numId w:val="2"/>
        </w:numPr>
        <w:tabs>
          <w:tab w:val="left" w:pos="426"/>
        </w:tabs>
        <w:spacing w:before="120" w:after="90"/>
        <w:ind w:hanging="1080"/>
        <w:rPr>
          <w:b/>
          <w:i/>
        </w:rPr>
      </w:pPr>
      <w:r w:rsidRPr="00D42807">
        <w:rPr>
          <w:b/>
          <w:i/>
        </w:rPr>
        <w:t>Análise Crítica</w:t>
      </w:r>
    </w:p>
    <w:p w:rsidR="001C1A14" w:rsidRPr="00D42807" w:rsidRDefault="001C1A14" w:rsidP="001C1A14">
      <w:pPr>
        <w:tabs>
          <w:tab w:val="left" w:pos="426"/>
        </w:tabs>
        <w:spacing w:before="120" w:after="90"/>
        <w:ind w:left="1080"/>
        <w:rPr>
          <w:b/>
          <w:i/>
        </w:rPr>
      </w:pPr>
    </w:p>
    <w:p w:rsidR="00ED48DA" w:rsidRDefault="001C1A14" w:rsidP="001C1A14">
      <w:pPr>
        <w:tabs>
          <w:tab w:val="left" w:pos="426"/>
        </w:tabs>
        <w:spacing w:before="120" w:after="90"/>
        <w:ind w:firstLine="709"/>
      </w:pPr>
      <w:r>
        <w:t xml:space="preserve">O </w:t>
      </w:r>
      <w:proofErr w:type="spellStart"/>
      <w:r>
        <w:t>I</w:t>
      </w:r>
      <w:r w:rsidR="008A1D73">
        <w:t>fam</w:t>
      </w:r>
      <w:proofErr w:type="spellEnd"/>
      <w:r>
        <w:t xml:space="preserve">, bem como suas unidades gestoras subordinadas </w:t>
      </w:r>
      <w:r w:rsidR="00ED48DA">
        <w:t>empenhou-se para</w:t>
      </w:r>
      <w:proofErr w:type="gramStart"/>
      <w:r w:rsidR="00ED48DA">
        <w:t xml:space="preserve"> </w:t>
      </w:r>
      <w:r>
        <w:t xml:space="preserve"> </w:t>
      </w:r>
      <w:proofErr w:type="gramEnd"/>
      <w:r>
        <w:t>que as despesas inscritas em restos a pagar sejam pagas no prazo determinado no Decreto n.º 93.</w:t>
      </w:r>
      <w:r w:rsidR="008A1D73">
        <w:t xml:space="preserve">872, de 23 de dezembro de 1986, no entanto este órgão ainda não possuí um </w:t>
      </w:r>
      <w:r w:rsidR="008A1D73">
        <w:lastRenderedPageBreak/>
        <w:t>almoxarifado estruturado, ou seja, há deficiência no quadro de pessoal, espaço físico, informatização</w:t>
      </w:r>
      <w:r w:rsidR="00ED48DA">
        <w:t xml:space="preserve"> e comunicação, por isso este saldo não tem sido eliminado.</w:t>
      </w:r>
    </w:p>
    <w:p w:rsidR="001C1A14" w:rsidRDefault="00ED48DA" w:rsidP="001C1A14">
      <w:pPr>
        <w:tabs>
          <w:tab w:val="left" w:pos="426"/>
        </w:tabs>
        <w:spacing w:before="120" w:after="90"/>
        <w:ind w:firstLine="709"/>
      </w:pPr>
      <w:r>
        <w:t xml:space="preserve"> </w:t>
      </w:r>
      <w:r w:rsidR="001C1A14">
        <w:t>Os</w:t>
      </w:r>
      <w:r>
        <w:t xml:space="preserve"> saldos relevantes de</w:t>
      </w:r>
      <w:r w:rsidR="001C1A14">
        <w:t xml:space="preserve"> restos a pagar não processados por mais de um exercício financeiro foram decorrentes da execução de obras relativas à imp</w:t>
      </w:r>
      <w:r>
        <w:t>lantação dos Campi vinculados a expansão do</w:t>
      </w:r>
      <w:r w:rsidR="001C1A14">
        <w:t xml:space="preserve"> IFAM, ao</w:t>
      </w:r>
      <w:r>
        <w:t xml:space="preserve"> IF-Acre e IF-Rondônia.</w:t>
      </w:r>
      <w:r w:rsidR="001C1A14">
        <w:t xml:space="preserve"> Entende-se que estes restos a pagar estão de acordo com o disposto no Decreto n.º 93.872 de 23 de dezembro, em seu artigo 68 e </w:t>
      </w:r>
      <w:proofErr w:type="gramStart"/>
      <w:r w:rsidR="001C1A14" w:rsidRPr="00234670">
        <w:t>§</w:t>
      </w:r>
      <w:r w:rsidR="001C1A14">
        <w:t>3, II, c)</w:t>
      </w:r>
      <w:proofErr w:type="gramEnd"/>
      <w:r w:rsidR="001C1A14">
        <w:t>.</w:t>
      </w:r>
    </w:p>
    <w:p w:rsidR="009E6F21" w:rsidRDefault="009E6F21"/>
    <w:sectPr w:rsidR="009E6F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67E"/>
    <w:multiLevelType w:val="multilevel"/>
    <w:tmpl w:val="E1F88DD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lang w:val="x-none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DC4497"/>
    <w:multiLevelType w:val="multilevel"/>
    <w:tmpl w:val="80C8DE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14"/>
    <w:rsid w:val="00006F86"/>
    <w:rsid w:val="00040E33"/>
    <w:rsid w:val="001C1A14"/>
    <w:rsid w:val="00641F95"/>
    <w:rsid w:val="0073639F"/>
    <w:rsid w:val="008A1D73"/>
    <w:rsid w:val="009E6F21"/>
    <w:rsid w:val="009F6B44"/>
    <w:rsid w:val="00D5131D"/>
    <w:rsid w:val="00ED48DA"/>
    <w:rsid w:val="00FA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A1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autoRedefine/>
    <w:qFormat/>
    <w:rsid w:val="001C1A14"/>
    <w:pPr>
      <w:keepNext/>
      <w:spacing w:after="120" w:line="233" w:lineRule="auto"/>
      <w:outlineLvl w:val="0"/>
    </w:pPr>
    <w:rPr>
      <w:b/>
      <w:caps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1A14"/>
    <w:rPr>
      <w:rFonts w:ascii="Times New Roman" w:eastAsia="Calibri" w:hAnsi="Times New Roman" w:cs="Times New Roman"/>
      <w:b/>
      <w:caps/>
      <w:sz w:val="24"/>
      <w:szCs w:val="20"/>
      <w:lang w:val="x-none" w:eastAsia="x-none"/>
    </w:rPr>
  </w:style>
  <w:style w:type="paragraph" w:customStyle="1" w:styleId="Epgrafe">
    <w:name w:val="#Epígrafe"/>
    <w:basedOn w:val="Normal"/>
    <w:autoRedefine/>
    <w:qFormat/>
    <w:rsid w:val="001C1A14"/>
    <w:pPr>
      <w:widowControl w:val="0"/>
      <w:suppressAutoHyphens/>
    </w:pPr>
    <w:rPr>
      <w:caps/>
      <w:color w:val="000000"/>
      <w:sz w:val="20"/>
      <w:szCs w:val="20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A1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autoRedefine/>
    <w:qFormat/>
    <w:rsid w:val="001C1A14"/>
    <w:pPr>
      <w:keepNext/>
      <w:spacing w:after="120" w:line="233" w:lineRule="auto"/>
      <w:outlineLvl w:val="0"/>
    </w:pPr>
    <w:rPr>
      <w:b/>
      <w:caps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1A14"/>
    <w:rPr>
      <w:rFonts w:ascii="Times New Roman" w:eastAsia="Calibri" w:hAnsi="Times New Roman" w:cs="Times New Roman"/>
      <w:b/>
      <w:caps/>
      <w:sz w:val="24"/>
      <w:szCs w:val="20"/>
      <w:lang w:val="x-none" w:eastAsia="x-none"/>
    </w:rPr>
  </w:style>
  <w:style w:type="paragraph" w:customStyle="1" w:styleId="Epgrafe">
    <w:name w:val="#Epígrafe"/>
    <w:basedOn w:val="Normal"/>
    <w:autoRedefine/>
    <w:qFormat/>
    <w:rsid w:val="001C1A14"/>
    <w:pPr>
      <w:widowControl w:val="0"/>
      <w:suppressAutoHyphens/>
    </w:pPr>
    <w:rPr>
      <w:caps/>
      <w:color w:val="000000"/>
      <w:sz w:val="20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2014-03-18T13:49:00Z</dcterms:created>
  <dcterms:modified xsi:type="dcterms:W3CDTF">2014-03-18T14:33:00Z</dcterms:modified>
</cp:coreProperties>
</file>