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08" w:rsidRPr="00895486" w:rsidRDefault="00390E08" w:rsidP="00390E08">
      <w:pPr>
        <w:pStyle w:val="Ttulo2"/>
        <w:pBdr>
          <w:top w:val="thickThinSmallGap" w:sz="24" w:space="0" w:color="auto"/>
        </w:pBdr>
      </w:pPr>
      <w:bookmarkStart w:id="0" w:name="_Toc360109304"/>
      <w:bookmarkStart w:id="1" w:name="_Toc360448904"/>
      <w:r w:rsidRPr="00895486">
        <w:t>11.1</w:t>
      </w:r>
      <w:r w:rsidRPr="00895486">
        <w:tab/>
        <w:t>Medidas Adotadas para Adoção de Critérios e Procedimentos Estabelecidos pelas Normas Brasileiras de Contabilidade Aplicadas ao Setor Público</w:t>
      </w:r>
      <w:bookmarkEnd w:id="0"/>
      <w:bookmarkEnd w:id="1"/>
    </w:p>
    <w:p w:rsidR="00390E08" w:rsidRDefault="00390E08" w:rsidP="00390E08">
      <w:pPr>
        <w:spacing w:before="120" w:after="120"/>
        <w:jc w:val="both"/>
      </w:pPr>
      <w:r w:rsidRPr="0070364F">
        <w:rPr>
          <w:b/>
        </w:rPr>
        <w:t>Objetivo</w:t>
      </w:r>
      <w:r>
        <w:rPr>
          <w:b/>
        </w:rPr>
        <w:t xml:space="preserve"> Específico</w:t>
      </w:r>
      <w:r w:rsidRPr="0070364F">
        <w:rPr>
          <w:b/>
        </w:rPr>
        <w:t>:</w:t>
      </w:r>
      <w:r w:rsidRPr="0070364F">
        <w:t xml:space="preserve"> </w:t>
      </w:r>
      <w:r>
        <w:t xml:space="preserve">Levantar informações quanto aos procedimentos, práticas, elaboração e divulgação das demonstrações contábeis elaboradas pelas UJ para dar cumprimento às diretrizes preconizadas nas Normas Brasileiras Aplicadas ao Setor Público, em especial, nas NBC T 16.9 e 16.10. </w:t>
      </w:r>
    </w:p>
    <w:p w:rsidR="00390E08" w:rsidRDefault="00390E08" w:rsidP="00390E08">
      <w:pPr>
        <w:tabs>
          <w:tab w:val="left" w:pos="3119"/>
        </w:tabs>
        <w:spacing w:before="120" w:after="120"/>
        <w:jc w:val="both"/>
        <w:rPr>
          <w:color w:val="000000"/>
        </w:rPr>
      </w:pPr>
      <w:r w:rsidRPr="00621FCE">
        <w:rPr>
          <w:b/>
          <w:color w:val="000000"/>
        </w:rPr>
        <w:t xml:space="preserve">Estrutura de Informação: </w:t>
      </w:r>
      <w:r w:rsidRPr="00DB5722">
        <w:rPr>
          <w:color w:val="000000"/>
        </w:rPr>
        <w:t>Não há</w:t>
      </w:r>
      <w:r>
        <w:rPr>
          <w:b/>
          <w:color w:val="000000"/>
        </w:rPr>
        <w:t xml:space="preserve"> </w:t>
      </w:r>
      <w:r>
        <w:rPr>
          <w:color w:val="000000"/>
        </w:rPr>
        <w:t>estruturação definida para este subitem. Desta forma, a apresentação das informações está no âmbito da discricionariedade do gestor. Devendo ele optar pela forma mais eficiente e objetiva para a evidenciação das informações solicitadas.</w:t>
      </w:r>
    </w:p>
    <w:p w:rsidR="00390E08" w:rsidRDefault="00390E08" w:rsidP="00390E08">
      <w:pPr>
        <w:tabs>
          <w:tab w:val="left" w:pos="3119"/>
        </w:tabs>
        <w:spacing w:before="120" w:after="120"/>
        <w:jc w:val="both"/>
      </w:pPr>
      <w:r>
        <w:rPr>
          <w:color w:val="000000"/>
        </w:rPr>
        <w:t xml:space="preserve">A unidade jurisdicionada deverá prover informações </w:t>
      </w:r>
      <w:r w:rsidRPr="003F2C14">
        <w:t>sobre a adoção de critérios e procedimentos estabelecidos pelas Normas Brasileiras de Contabilidade Aplicada ao Setor Público, em especial, nas NBC T 16.9 e NBC T 16.10.</w:t>
      </w:r>
      <w:r>
        <w:t xml:space="preserve"> As informações prestadas pela UJ devem conter, no mínimo: </w:t>
      </w:r>
    </w:p>
    <w:p w:rsidR="00390E08" w:rsidRDefault="00390E08" w:rsidP="00390E08">
      <w:pPr>
        <w:spacing w:before="120" w:after="120"/>
        <w:ind w:left="765" w:hanging="357"/>
        <w:jc w:val="both"/>
      </w:pPr>
      <w:proofErr w:type="gramStart"/>
      <w:r>
        <w:t>a</w:t>
      </w:r>
      <w:proofErr w:type="gramEnd"/>
      <w:r>
        <w:t>)</w:t>
      </w:r>
      <w:r>
        <w:tab/>
        <w:t xml:space="preserve">Se a UJ está ou não está aplicando os dispositivos contidos nas </w:t>
      </w:r>
      <w:r w:rsidRPr="003F2C14">
        <w:t>NBC T 16.9 e NBC T 16.10</w:t>
      </w:r>
      <w:r>
        <w:t>;</w:t>
      </w:r>
    </w:p>
    <w:p w:rsidR="00390E08" w:rsidRDefault="00390E08" w:rsidP="00390E08">
      <w:pPr>
        <w:spacing w:before="120" w:after="120"/>
        <w:ind w:left="765" w:hanging="357"/>
        <w:jc w:val="both"/>
      </w:pPr>
      <w:proofErr w:type="gramStart"/>
      <w:r>
        <w:t>b)</w:t>
      </w:r>
      <w:proofErr w:type="gramEnd"/>
      <w:r>
        <w:tab/>
        <w:t>Justificativas em caso de resposta negativa à alínea “a” acima;</w:t>
      </w:r>
    </w:p>
    <w:p w:rsidR="00390E08" w:rsidRDefault="00390E08" w:rsidP="00390E08">
      <w:pPr>
        <w:spacing w:before="120" w:after="120"/>
        <w:ind w:left="765" w:hanging="357"/>
        <w:jc w:val="both"/>
      </w:pPr>
      <w:proofErr w:type="gramStart"/>
      <w:r>
        <w:t>c)</w:t>
      </w:r>
      <w:proofErr w:type="gramEnd"/>
      <w:r>
        <w:tab/>
        <w:t>Metodologia adotada para estimar a vida útil econômica do ativo;</w:t>
      </w:r>
    </w:p>
    <w:p w:rsidR="00390E08" w:rsidRDefault="00390E08" w:rsidP="00390E08">
      <w:pPr>
        <w:spacing w:before="120" w:after="120"/>
        <w:ind w:left="765" w:hanging="357"/>
        <w:jc w:val="both"/>
      </w:pPr>
      <w:proofErr w:type="gramStart"/>
      <w:r>
        <w:t>d)</w:t>
      </w:r>
      <w:proofErr w:type="gramEnd"/>
      <w:r>
        <w:tab/>
        <w:t>A metodologia de cálculo da depreciação, amortização e exaustão;</w:t>
      </w:r>
    </w:p>
    <w:p w:rsidR="00390E08" w:rsidRDefault="00390E08" w:rsidP="00390E08">
      <w:pPr>
        <w:spacing w:before="120" w:after="120"/>
        <w:ind w:left="765" w:hanging="357"/>
        <w:jc w:val="both"/>
      </w:pPr>
      <w:proofErr w:type="gramStart"/>
      <w:r>
        <w:t>e</w:t>
      </w:r>
      <w:proofErr w:type="gramEnd"/>
      <w:r>
        <w:t>)</w:t>
      </w:r>
      <w:r>
        <w:tab/>
        <w:t>As taxas utilizadas para os cálculos;</w:t>
      </w:r>
    </w:p>
    <w:p w:rsidR="00390E08" w:rsidRDefault="00390E08" w:rsidP="00390E08">
      <w:pPr>
        <w:spacing w:before="120" w:after="120"/>
        <w:ind w:left="765" w:hanging="357"/>
        <w:jc w:val="both"/>
      </w:pPr>
      <w:proofErr w:type="gramStart"/>
      <w:r>
        <w:t>f)</w:t>
      </w:r>
      <w:proofErr w:type="gramEnd"/>
      <w:r>
        <w:tab/>
        <w:t>A metodologia adotada para realizar a avaliação e mensuração das disponibilidades, dos créditos e dívidas, dos estoques, dos investimentos, do imobilizado, do intangível e do diferido;</w:t>
      </w:r>
    </w:p>
    <w:p w:rsidR="00390E08" w:rsidRPr="003F2C14" w:rsidRDefault="00390E08" w:rsidP="00390E08">
      <w:pPr>
        <w:spacing w:before="120" w:after="120"/>
        <w:ind w:left="765" w:hanging="357"/>
        <w:jc w:val="both"/>
      </w:pPr>
      <w:proofErr w:type="gramStart"/>
      <w:r w:rsidRPr="003F2C14">
        <w:t>g)</w:t>
      </w:r>
      <w:proofErr w:type="gramEnd"/>
      <w:r w:rsidRPr="003F2C14">
        <w:tab/>
      </w:r>
      <w:r>
        <w:t xml:space="preserve">O impacto da utilização dos critérios contidos nas </w:t>
      </w:r>
      <w:r w:rsidRPr="003F2C14">
        <w:t>NBC T 16.9 e NBC T 16.10</w:t>
      </w:r>
      <w:r>
        <w:t xml:space="preserve"> sobre o resultado apurado pela UJ no exercício.</w:t>
      </w:r>
    </w:p>
    <w:p w:rsidR="00390E08" w:rsidRPr="00A94AF3" w:rsidRDefault="00390E08" w:rsidP="00390E08">
      <w:pPr>
        <w:tabs>
          <w:tab w:val="left" w:pos="3119"/>
        </w:tabs>
        <w:spacing w:before="120" w:after="120"/>
        <w:jc w:val="both"/>
      </w:pPr>
      <w:r w:rsidRPr="00621FCE">
        <w:rPr>
          <w:b/>
        </w:rPr>
        <w:t xml:space="preserve">Abrangência: </w:t>
      </w:r>
      <w:r w:rsidRPr="00A94AF3">
        <w:t xml:space="preserve">Órgãos dos Poderes Legislativo e Judiciário, do Ministério Público da União e do Tribunal de Contas da União; Órgãos da administração direta do Poder Executivo; Autarquias e fundações do Poder </w:t>
      </w:r>
      <w:proofErr w:type="gramStart"/>
      <w:r w:rsidRPr="00A94AF3">
        <w:t>Executivo e Entidades da Administração Pública Federal signatária</w:t>
      </w:r>
      <w:r>
        <w:t>s</w:t>
      </w:r>
      <w:r w:rsidRPr="00A94AF3">
        <w:t xml:space="preserve"> ou supervisora</w:t>
      </w:r>
      <w:r>
        <w:t>s</w:t>
      </w:r>
      <w:r w:rsidRPr="00A94AF3">
        <w:t xml:space="preserve"> de contrato de gestão</w:t>
      </w:r>
      <w:proofErr w:type="gramEnd"/>
      <w:r w:rsidRPr="00A94AF3">
        <w:t>.</w:t>
      </w:r>
    </w:p>
    <w:p w:rsidR="009E6F21" w:rsidRDefault="009E6F21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390E08" w:rsidRDefault="00390E08"/>
    <w:p w:rsidR="00FF2D94" w:rsidRDefault="00390E08" w:rsidP="00FF2D94">
      <w:pPr>
        <w:ind w:firstLine="708"/>
        <w:jc w:val="both"/>
      </w:pPr>
      <w:r>
        <w:lastRenderedPageBreak/>
        <w:t>A NBC 16.9 ainda não está sendo aplicada</w:t>
      </w:r>
      <w:r w:rsidR="00FF2D94">
        <w:t>,</w:t>
      </w:r>
      <w:r>
        <w:t xml:space="preserve"> devido a</w:t>
      </w:r>
      <w:proofErr w:type="gramStart"/>
      <w:r>
        <w:t xml:space="preserve"> </w:t>
      </w:r>
      <w:r w:rsidR="00B037A9">
        <w:t xml:space="preserve"> </w:t>
      </w:r>
      <w:proofErr w:type="gramEnd"/>
      <w:r w:rsidR="00B037A9">
        <w:t>carência de recursos humanos e</w:t>
      </w:r>
      <w:r>
        <w:t xml:space="preserve"> de sistema que registre os valores a serem</w:t>
      </w:r>
      <w:r w:rsidR="00FF2D94">
        <w:t xml:space="preserve"> lançados mensalmente no SIAFI.</w:t>
      </w:r>
    </w:p>
    <w:p w:rsidR="00FF2D94" w:rsidRDefault="00FF2D94" w:rsidP="00FF2D94">
      <w:pPr>
        <w:ind w:firstLine="708"/>
        <w:jc w:val="both"/>
      </w:pPr>
    </w:p>
    <w:p w:rsidR="00390E08" w:rsidRDefault="00FF2D94" w:rsidP="00FF2D94">
      <w:pPr>
        <w:ind w:firstLine="708"/>
        <w:jc w:val="both"/>
      </w:pPr>
      <w:r>
        <w:t>O</w:t>
      </w:r>
      <w:r w:rsidR="00390E08">
        <w:t xml:space="preserve"> </w:t>
      </w:r>
      <w:proofErr w:type="spellStart"/>
      <w:r w:rsidR="00390E08">
        <w:t>Ifam</w:t>
      </w:r>
      <w:proofErr w:type="spellEnd"/>
      <w:r w:rsidR="00390E08">
        <w:t xml:space="preserve"> utiliza o </w:t>
      </w:r>
      <w:proofErr w:type="spellStart"/>
      <w:r w:rsidR="00390E08">
        <w:t>Suap</w:t>
      </w:r>
      <w:proofErr w:type="spellEnd"/>
      <w:r w:rsidR="00390E08">
        <w:t xml:space="preserve"> para registrar os bens</w:t>
      </w:r>
      <w:r>
        <w:t xml:space="preserve"> mó</w:t>
      </w:r>
      <w:r w:rsidR="00433FED">
        <w:t>veis</w:t>
      </w:r>
      <w:r w:rsidR="00B037A9">
        <w:t>, todavia,</w:t>
      </w:r>
      <w:r w:rsidR="00390E08">
        <w:t xml:space="preserve"> a versã</w:t>
      </w:r>
      <w:r w:rsidR="00B037A9">
        <w:t xml:space="preserve">o que o </w:t>
      </w:r>
      <w:proofErr w:type="spellStart"/>
      <w:r w:rsidR="00B037A9">
        <w:t>Ifam</w:t>
      </w:r>
      <w:proofErr w:type="spellEnd"/>
      <w:r w:rsidR="00B037A9">
        <w:t xml:space="preserve"> possui desse sistema não emite relatório de depreciação e amortização.</w:t>
      </w:r>
    </w:p>
    <w:p w:rsidR="00433FED" w:rsidRDefault="00433FED" w:rsidP="00FF2D94">
      <w:pPr>
        <w:jc w:val="both"/>
      </w:pPr>
    </w:p>
    <w:p w:rsidR="00B5317D" w:rsidRDefault="00433FED" w:rsidP="00B5317D">
      <w:pPr>
        <w:ind w:firstLine="708"/>
        <w:jc w:val="both"/>
      </w:pPr>
      <w:r>
        <w:t>Quanto aos bens imóveis em 2013</w:t>
      </w:r>
      <w:r w:rsidR="00FF2D94">
        <w:t>,</w:t>
      </w:r>
      <w:r>
        <w:t xml:space="preserve"> </w:t>
      </w:r>
      <w:r w:rsidR="00B5317D">
        <w:t>a reavaliação deles utilizou um método misto para o valor do terreno e para o valor de mercado conforme registro na Procuradoria Geral do Município de Manaus.  E ainda para as benfeitorias</w:t>
      </w:r>
      <w:r w:rsidR="00B5317D" w:rsidRPr="00B5317D">
        <w:t xml:space="preserve"> </w:t>
      </w:r>
      <w:r w:rsidR="00B5317D">
        <w:t xml:space="preserve">o método da Secretaria de Patrimônio da </w:t>
      </w:r>
      <w:proofErr w:type="gramStart"/>
      <w:r w:rsidR="00B5317D">
        <w:t>União –SPU</w:t>
      </w:r>
      <w:proofErr w:type="gramEnd"/>
      <w:r w:rsidR="00B5317D">
        <w:t>, a vida útil dos bens imóveis não é estimada, porém, é um consenso na contabilidade que bens imóveis tem vida útil de 25 anos podendo ser reavaliados de acordo com o estado de conservação.</w:t>
      </w:r>
    </w:p>
    <w:p w:rsidR="00B5317D" w:rsidRDefault="00B5317D" w:rsidP="00B5317D">
      <w:pPr>
        <w:jc w:val="both"/>
      </w:pPr>
      <w:bookmarkStart w:id="2" w:name="_GoBack"/>
      <w:bookmarkEnd w:id="2"/>
    </w:p>
    <w:sectPr w:rsidR="00B53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8"/>
    <w:rsid w:val="00006F86"/>
    <w:rsid w:val="00040E33"/>
    <w:rsid w:val="00390E08"/>
    <w:rsid w:val="00433FED"/>
    <w:rsid w:val="00641F95"/>
    <w:rsid w:val="0073639F"/>
    <w:rsid w:val="009E6F21"/>
    <w:rsid w:val="009F6B44"/>
    <w:rsid w:val="00AA2DD0"/>
    <w:rsid w:val="00AA63AF"/>
    <w:rsid w:val="00B037A9"/>
    <w:rsid w:val="00B5317D"/>
    <w:rsid w:val="00BC5C43"/>
    <w:rsid w:val="00D1454D"/>
    <w:rsid w:val="00D5131D"/>
    <w:rsid w:val="00E72A7A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390E08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0E08"/>
    <w:rPr>
      <w:rFonts w:ascii="Times New Roman" w:eastAsia="Calibri" w:hAnsi="Times New Roman" w:cs="Times New Roman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390E08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0E08"/>
    <w:rPr>
      <w:rFonts w:ascii="Times New Roman" w:eastAsia="Calibri" w:hAnsi="Times New Roman" w:cs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Viviane Maria</cp:lastModifiedBy>
  <cp:revision>2</cp:revision>
  <dcterms:created xsi:type="dcterms:W3CDTF">2014-03-25T17:58:00Z</dcterms:created>
  <dcterms:modified xsi:type="dcterms:W3CDTF">2014-03-25T17:58:00Z</dcterms:modified>
</cp:coreProperties>
</file>