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AD" w:rsidRPr="00BD16FC" w:rsidRDefault="00EE7FAD" w:rsidP="00EE7FAD">
      <w:pPr>
        <w:spacing w:after="0"/>
        <w:rPr>
          <w:sz w:val="24"/>
          <w:szCs w:val="24"/>
        </w:rPr>
      </w:pPr>
      <w:r w:rsidRPr="00BD16FC">
        <w:rPr>
          <w:sz w:val="24"/>
          <w:szCs w:val="24"/>
        </w:rPr>
        <w:t>5.4.1 indicadores de Gestão das IFET nos Termos do Acórdão TCU nº 2.267/2005</w:t>
      </w:r>
    </w:p>
    <w:p w:rsidR="00EE7FAD" w:rsidRPr="00BD16FC" w:rsidRDefault="00EE7FAD" w:rsidP="00EE7FAD">
      <w:pPr>
        <w:pStyle w:val="Legenda"/>
        <w:keepNext/>
        <w:spacing w:after="0"/>
      </w:pPr>
      <w:bookmarkStart w:id="0" w:name="_Toc412634287"/>
      <w:r w:rsidRPr="00BD16F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 w:rsidRPr="00BD16FC">
        <w:t xml:space="preserve"> Quadro B.65.1 – Resultados dos Indicadores – Acórdão TCU n.º 2.267/2005</w:t>
      </w:r>
      <w:bookmarkEnd w:id="0"/>
    </w:p>
    <w:tbl>
      <w:tblPr>
        <w:tblW w:w="5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098"/>
        <w:gridCol w:w="960"/>
        <w:gridCol w:w="684"/>
        <w:gridCol w:w="822"/>
        <w:gridCol w:w="824"/>
        <w:gridCol w:w="824"/>
        <w:gridCol w:w="822"/>
      </w:tblGrid>
      <w:tr w:rsidR="00EE7FAD" w:rsidRPr="00BD16FC" w:rsidTr="00EA5759">
        <w:trPr>
          <w:trHeight w:val="20"/>
          <w:jc w:val="center"/>
        </w:trPr>
        <w:tc>
          <w:tcPr>
            <w:tcW w:w="2352" w:type="pct"/>
            <w:gridSpan w:val="2"/>
            <w:vMerge w:val="restar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Indicadores</w:t>
            </w:r>
          </w:p>
        </w:tc>
        <w:tc>
          <w:tcPr>
            <w:tcW w:w="515" w:type="pct"/>
            <w:vMerge w:val="restar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Fórmula de Cálculo</w:t>
            </w:r>
          </w:p>
        </w:tc>
        <w:tc>
          <w:tcPr>
            <w:tcW w:w="2134" w:type="pct"/>
            <w:gridSpan w:val="5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Exercícios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2352" w:type="pct"/>
            <w:gridSpan w:val="2"/>
            <w:vMerge/>
            <w:shd w:val="clear" w:color="auto" w:fill="D9D9D9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2014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2013</w:t>
            </w:r>
          </w:p>
        </w:tc>
        <w:tc>
          <w:tcPr>
            <w:tcW w:w="442" w:type="pc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2012</w:t>
            </w:r>
          </w:p>
        </w:tc>
        <w:tc>
          <w:tcPr>
            <w:tcW w:w="442" w:type="pc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2011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2010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 w:val="restart"/>
            <w:shd w:val="clear" w:color="auto" w:fill="F2F2F2"/>
            <w:vAlign w:val="center"/>
          </w:tcPr>
          <w:p w:rsidR="00EE7FAD" w:rsidRPr="00BD16FC" w:rsidRDefault="00EE7FAD" w:rsidP="00EA5759">
            <w:pPr>
              <w:rPr>
                <w:sz w:val="16"/>
                <w:szCs w:val="16"/>
              </w:rPr>
            </w:pPr>
            <w:r w:rsidRPr="00BD16FC">
              <w:rPr>
                <w:sz w:val="16"/>
                <w:szCs w:val="16"/>
              </w:rPr>
              <w:t>Acadêmicos</w:t>
            </w: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Relação Candidato/Vaga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3,67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rPr>
                <w:b/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4,04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4,21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5,27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4,40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Relação Ingressos/Aluno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29,09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30,98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31,08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29,01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51,84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Relação Concluintes/Aluno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41,15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9,12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8,6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3,52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9,34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Índice de Eficiência Acadêmica – Concluintes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93,79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61,87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44,9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12,14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18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Índice de Retenção do Fluxo Escolar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13,54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51,24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50,1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20,83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17,56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Relação de Alunos/Docente em Tempo Integral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33,21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36,66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35,12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28,02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20,86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 w:val="restar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BD16FC">
              <w:rPr>
                <w:bCs/>
                <w:sz w:val="16"/>
                <w:szCs w:val="16"/>
              </w:rPr>
              <w:t>Administrativos</w:t>
            </w: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Gastos Correntes por Aluno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8.056,97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6.604,80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7.467,51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7.408,00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Percentual de Gastos com Pessoal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55,01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55,49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56,40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50,65</w:t>
            </w:r>
          </w:p>
        </w:tc>
      </w:tr>
      <w:tr w:rsidR="00EE7FAD" w:rsidRPr="00BD16FC" w:rsidTr="00EA5759"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Percentual de Gastos com outros Custeios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22,60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24,21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26,50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18,16</w:t>
            </w:r>
          </w:p>
        </w:tc>
      </w:tr>
      <w:tr w:rsidR="00EE7FAD" w:rsidRPr="00BD16FC" w:rsidTr="00EA57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690" w:type="pct"/>
            <w:vMerge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Percentual de Gastos com Investimentos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22,39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17,55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19,38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26,42</w:t>
            </w:r>
          </w:p>
        </w:tc>
      </w:tr>
      <w:tr w:rsidR="00EE7FAD" w:rsidRPr="00BD16FC" w:rsidTr="00EA57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690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BD16FC">
              <w:rPr>
                <w:bCs/>
                <w:sz w:val="16"/>
                <w:szCs w:val="16"/>
              </w:rPr>
              <w:t>Socioeconômico</w:t>
            </w: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Número de Alunos Matriculados por Renda per Capita Familiar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sz w:val="16"/>
                <w:szCs w:val="16"/>
              </w:rPr>
            </w:pPr>
          </w:p>
        </w:tc>
      </w:tr>
      <w:tr w:rsidR="00EE7FAD" w:rsidRPr="00BD16FC" w:rsidTr="00EA57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690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 w:rsidRPr="00BD16FC">
              <w:rPr>
                <w:bCs/>
                <w:sz w:val="16"/>
                <w:szCs w:val="16"/>
              </w:rPr>
              <w:t>Gestão de Pessoas</w:t>
            </w:r>
          </w:p>
        </w:tc>
        <w:tc>
          <w:tcPr>
            <w:tcW w:w="1661" w:type="pct"/>
            <w:shd w:val="clear" w:color="auto" w:fill="F2F2F2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both"/>
              <w:rPr>
                <w:bCs/>
                <w:sz w:val="16"/>
                <w:szCs w:val="16"/>
              </w:rPr>
            </w:pPr>
            <w:r w:rsidRPr="00BD16FC">
              <w:rPr>
                <w:color w:val="000000"/>
                <w:sz w:val="16"/>
                <w:szCs w:val="16"/>
              </w:rPr>
              <w:t>Índice de Titulação do Corpo Docente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after="0" w:line="235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7" w:type="pct"/>
            <w:vAlign w:val="center"/>
          </w:tcPr>
          <w:p w:rsidR="00EE7FAD" w:rsidRPr="00BD16FC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3,27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3,24</w:t>
            </w:r>
          </w:p>
        </w:tc>
        <w:tc>
          <w:tcPr>
            <w:tcW w:w="442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3,30</w:t>
            </w:r>
          </w:p>
        </w:tc>
        <w:tc>
          <w:tcPr>
            <w:tcW w:w="441" w:type="pct"/>
            <w:vAlign w:val="center"/>
          </w:tcPr>
          <w:p w:rsidR="00EE7FAD" w:rsidRPr="003C2A34" w:rsidRDefault="00EE7FAD" w:rsidP="00EA5759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3C2A34">
              <w:rPr>
                <w:sz w:val="16"/>
                <w:szCs w:val="16"/>
              </w:rPr>
              <w:t>3,19</w:t>
            </w:r>
          </w:p>
        </w:tc>
      </w:tr>
    </w:tbl>
    <w:p w:rsidR="006616F2" w:rsidRDefault="00EE7FAD">
      <w:bookmarkStart w:id="1" w:name="_GoBack"/>
      <w:bookmarkEnd w:id="1"/>
    </w:p>
    <w:sectPr w:rsidR="00661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1C"/>
    <w:rsid w:val="003D0DC4"/>
    <w:rsid w:val="0043351C"/>
    <w:rsid w:val="004A00B1"/>
    <w:rsid w:val="00550375"/>
    <w:rsid w:val="0074399F"/>
    <w:rsid w:val="00BF2B09"/>
    <w:rsid w:val="00EE7FAD"/>
    <w:rsid w:val="00F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E59C-C18D-443E-A04B-ACF01AF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1C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EE7FA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E7FAD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E7FA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2</cp:revision>
  <dcterms:created xsi:type="dcterms:W3CDTF">2015-02-25T18:04:00Z</dcterms:created>
  <dcterms:modified xsi:type="dcterms:W3CDTF">2015-02-25T19:05:00Z</dcterms:modified>
</cp:coreProperties>
</file>